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90" w:rsidRDefault="0021059A" w:rsidP="00C50390">
      <w:pPr>
        <w:jc w:val="center"/>
        <w:rPr>
          <w:rFonts w:ascii="Bookman Old Style" w:hAnsi="Bookman Old Style" w:cs="Tahoma"/>
          <w:b/>
          <w:bCs/>
          <w:sz w:val="32"/>
          <w:szCs w:val="32"/>
        </w:rPr>
      </w:pPr>
      <w:r>
        <w:rPr>
          <w:rFonts w:ascii="Bookman Old Style" w:hAnsi="Bookman Old Style" w:cs="Tahoma"/>
          <w:b/>
          <w:bCs/>
          <w:sz w:val="34"/>
          <w:szCs w:val="34"/>
        </w:rPr>
        <w:t>AC</w:t>
      </w:r>
      <w:r w:rsidRPr="005374C5">
        <w:rPr>
          <w:rFonts w:ascii="Bookman Old Style" w:hAnsi="Bookman Old Style" w:cs="Tahoma"/>
          <w:b/>
          <w:bCs/>
          <w:sz w:val="34"/>
          <w:szCs w:val="34"/>
        </w:rPr>
        <w:t xml:space="preserve">KNOWLEDGE </w:t>
      </w:r>
      <w:r w:rsidR="005374C5" w:rsidRPr="005374C5">
        <w:rPr>
          <w:rFonts w:ascii="Bookman Old Style" w:hAnsi="Bookman Old Style" w:cs="Tahoma"/>
          <w:b/>
          <w:bCs/>
          <w:sz w:val="34"/>
          <w:szCs w:val="34"/>
        </w:rPr>
        <w:t>AND AVAILABILITY OF E-LEARNING FACILITIES FOR EFFECTIVE TEACHING AND LEARNING CHEMISTRY IN SECONDARY SCHOOL</w:t>
      </w:r>
    </w:p>
    <w:p w:rsidR="00C50390" w:rsidRDefault="00C50390" w:rsidP="00C50390">
      <w:pPr>
        <w:jc w:val="center"/>
        <w:rPr>
          <w:rFonts w:ascii="Bookman Old Style" w:hAnsi="Bookman Old Style" w:cs="Tahoma"/>
          <w:b/>
          <w:bCs/>
          <w:sz w:val="32"/>
          <w:szCs w:val="32"/>
        </w:rPr>
      </w:pPr>
    </w:p>
    <w:p w:rsidR="00C50390" w:rsidRDefault="00C50390" w:rsidP="00C50390">
      <w:pPr>
        <w:jc w:val="center"/>
        <w:rPr>
          <w:rFonts w:ascii="Bookman Old Style" w:hAnsi="Bookman Old Style" w:cs="Tahoma"/>
          <w:b/>
          <w:bCs/>
          <w:sz w:val="32"/>
          <w:szCs w:val="32"/>
        </w:rPr>
      </w:pPr>
    </w:p>
    <w:p w:rsidR="00C50390" w:rsidRDefault="00C50390" w:rsidP="00C50390">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32210C" w:rsidRDefault="0032210C" w:rsidP="00C50390">
      <w:pPr>
        <w:jc w:val="center"/>
        <w:rPr>
          <w:rFonts w:ascii="Bookman Old Style" w:hAnsi="Bookman Old Style" w:cs="Tahoma"/>
          <w:b/>
          <w:bCs/>
          <w:sz w:val="32"/>
          <w:szCs w:val="32"/>
        </w:rPr>
      </w:pPr>
    </w:p>
    <w:p w:rsidR="00C50390" w:rsidRDefault="005374C5" w:rsidP="00C50390">
      <w:pPr>
        <w:jc w:val="center"/>
        <w:rPr>
          <w:rFonts w:ascii="Bookman Old Style" w:hAnsi="Bookman Old Style" w:cs="Tahoma"/>
          <w:b/>
          <w:bCs/>
          <w:sz w:val="32"/>
          <w:szCs w:val="32"/>
        </w:rPr>
      </w:pPr>
      <w:r w:rsidRPr="005374C5">
        <w:rPr>
          <w:rFonts w:ascii="Bookman Old Style" w:hAnsi="Bookman Old Style" w:cs="Tahoma"/>
          <w:b/>
          <w:bCs/>
          <w:sz w:val="32"/>
          <w:szCs w:val="32"/>
        </w:rPr>
        <w:t>ADDI KABIRAT REMILEKUN</w:t>
      </w:r>
    </w:p>
    <w:p w:rsidR="00C50390" w:rsidRPr="00E26396" w:rsidRDefault="005374C5" w:rsidP="00C50390">
      <w:pPr>
        <w:jc w:val="center"/>
        <w:rPr>
          <w:rFonts w:ascii="Bookman Old Style" w:hAnsi="Bookman Old Style" w:cs="Tahoma"/>
          <w:b/>
          <w:bCs/>
          <w:sz w:val="32"/>
          <w:szCs w:val="32"/>
        </w:rPr>
      </w:pPr>
      <w:r>
        <w:rPr>
          <w:rFonts w:ascii="Bookman Old Style" w:hAnsi="Bookman Old Style" w:cs="Tahoma"/>
          <w:b/>
          <w:bCs/>
          <w:sz w:val="32"/>
          <w:szCs w:val="32"/>
        </w:rPr>
        <w:t>MATRIC: KWCOED/IL/22/0639</w:t>
      </w:r>
    </w:p>
    <w:p w:rsidR="00C50390" w:rsidRPr="00E26396" w:rsidRDefault="00C50390" w:rsidP="00C50390">
      <w:pPr>
        <w:jc w:val="center"/>
        <w:rPr>
          <w:rFonts w:ascii="Bookman Old Style" w:hAnsi="Bookman Old Style" w:cs="Tahoma"/>
          <w:b/>
          <w:bCs/>
          <w:sz w:val="32"/>
          <w:szCs w:val="32"/>
        </w:rPr>
      </w:pPr>
    </w:p>
    <w:p w:rsidR="00C50390" w:rsidRPr="00E26396" w:rsidRDefault="00C50390" w:rsidP="00C50390">
      <w:pPr>
        <w:jc w:val="center"/>
        <w:rPr>
          <w:rFonts w:ascii="Bookman Old Style" w:hAnsi="Bookman Old Style" w:cs="Tahoma"/>
          <w:b/>
          <w:bCs/>
          <w:sz w:val="32"/>
          <w:szCs w:val="32"/>
        </w:rPr>
      </w:pPr>
    </w:p>
    <w:p w:rsidR="00C50390" w:rsidRDefault="00C50390" w:rsidP="00C50390">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sidR="005374C5">
        <w:rPr>
          <w:rFonts w:ascii="Bookman Old Style" w:hAnsi="Bookman Old Style"/>
          <w:b/>
          <w:bCs/>
          <w:sz w:val="32"/>
          <w:szCs w:val="32"/>
        </w:rPr>
        <w:t>CHEMISTRY/</w:t>
      </w:r>
      <w:r>
        <w:rPr>
          <w:rFonts w:ascii="Bookman Old Style" w:hAnsi="Bookman Old Style"/>
          <w:b/>
          <w:bCs/>
          <w:sz w:val="32"/>
          <w:szCs w:val="32"/>
        </w:rPr>
        <w:t>MATHEMATICS</w:t>
      </w:r>
      <w:r w:rsidRPr="00E26396">
        <w:rPr>
          <w:rFonts w:ascii="Bookman Old Style" w:hAnsi="Bookman Old Style"/>
          <w:b/>
          <w:bCs/>
          <w:sz w:val="32"/>
          <w:szCs w:val="32"/>
        </w:rPr>
        <w:t xml:space="preserve">, SCHOOL OF </w:t>
      </w:r>
      <w:r>
        <w:rPr>
          <w:rFonts w:ascii="Bookman Old Style" w:hAnsi="Bookman Old Style"/>
          <w:b/>
          <w:bCs/>
          <w:sz w:val="32"/>
          <w:szCs w:val="32"/>
        </w:rPr>
        <w:t>SCIENCE</w:t>
      </w:r>
      <w:r w:rsidRPr="00E26396">
        <w:rPr>
          <w:rFonts w:ascii="Bookman Old Style" w:hAnsi="Bookman Old Style"/>
          <w:b/>
          <w:bCs/>
          <w:sz w:val="32"/>
          <w:szCs w:val="32"/>
        </w:rPr>
        <w:t xml:space="preserve">, KWARA STATE COLLEGE </w:t>
      </w:r>
      <w:r>
        <w:rPr>
          <w:rFonts w:ascii="Bookman Old Style" w:hAnsi="Bookman Old Style"/>
          <w:b/>
          <w:bCs/>
          <w:sz w:val="32"/>
          <w:szCs w:val="32"/>
        </w:rPr>
        <w:t>OF EDUCATION, ILORIN.</w:t>
      </w:r>
    </w:p>
    <w:p w:rsidR="00C50390" w:rsidRDefault="00C50390" w:rsidP="00C50390">
      <w:pPr>
        <w:jc w:val="center"/>
        <w:rPr>
          <w:rFonts w:ascii="Bookman Old Style" w:hAnsi="Bookman Old Style"/>
          <w:b/>
          <w:bCs/>
          <w:sz w:val="32"/>
          <w:szCs w:val="32"/>
        </w:rPr>
      </w:pPr>
    </w:p>
    <w:p w:rsidR="00C50390" w:rsidRPr="00E26396" w:rsidRDefault="00C50390" w:rsidP="00C50390">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C50390" w:rsidRPr="00E26396" w:rsidRDefault="00C50390" w:rsidP="00C50390">
      <w:pPr>
        <w:jc w:val="center"/>
        <w:rPr>
          <w:rFonts w:ascii="Bookman Old Style" w:hAnsi="Bookman Old Style" w:cs="Tahoma"/>
          <w:b/>
          <w:bCs/>
          <w:sz w:val="32"/>
          <w:szCs w:val="32"/>
        </w:rPr>
      </w:pPr>
    </w:p>
    <w:p w:rsidR="00C50390" w:rsidRPr="00E26396" w:rsidRDefault="00C50390" w:rsidP="00C50390">
      <w:pPr>
        <w:ind w:left="5760" w:firstLine="720"/>
        <w:jc w:val="both"/>
        <w:rPr>
          <w:rFonts w:ascii="Bookman Old Style" w:hAnsi="Bookman Old Style" w:cs="Tahoma"/>
          <w:b/>
          <w:bCs/>
          <w:sz w:val="32"/>
          <w:szCs w:val="32"/>
        </w:rPr>
      </w:pPr>
    </w:p>
    <w:p w:rsidR="00C50390" w:rsidRPr="00D24495" w:rsidRDefault="00C50390" w:rsidP="00C50390">
      <w:pPr>
        <w:ind w:left="5760" w:firstLine="720"/>
        <w:jc w:val="both"/>
        <w:rPr>
          <w:rFonts w:ascii="Tahoma" w:hAnsi="Tahoma" w:cs="Tahoma"/>
          <w:b/>
          <w:bCs/>
          <w:sz w:val="28"/>
          <w:szCs w:val="28"/>
        </w:rPr>
      </w:pPr>
      <w:r>
        <w:rPr>
          <w:rFonts w:ascii="Bookman Old Style" w:hAnsi="Bookman Old Style" w:cs="Tahoma"/>
          <w:b/>
          <w:bCs/>
          <w:sz w:val="32"/>
          <w:szCs w:val="32"/>
        </w:rPr>
        <w:t>AUGUST,</w:t>
      </w:r>
      <w:r w:rsidRPr="00E26396">
        <w:rPr>
          <w:rFonts w:ascii="Bookman Old Style" w:hAnsi="Bookman Old Style" w:cs="Tahoma"/>
          <w:b/>
          <w:bCs/>
          <w:sz w:val="32"/>
          <w:szCs w:val="32"/>
        </w:rPr>
        <w:t xml:space="preserve"> 202</w:t>
      </w:r>
      <w:r w:rsidR="005374C5">
        <w:rPr>
          <w:rFonts w:ascii="Bookman Old Style" w:hAnsi="Bookman Old Style" w:cs="Tahoma"/>
          <w:b/>
          <w:bCs/>
          <w:sz w:val="32"/>
          <w:szCs w:val="32"/>
        </w:rPr>
        <w:t>5</w:t>
      </w:r>
      <w:r>
        <w:rPr>
          <w:rFonts w:ascii="Tahoma" w:hAnsi="Tahoma" w:cs="Tahoma"/>
          <w:b/>
          <w:bCs/>
          <w:sz w:val="28"/>
          <w:szCs w:val="28"/>
        </w:rPr>
        <w:br w:type="page"/>
      </w:r>
    </w:p>
    <w:p w:rsidR="00C50390" w:rsidRPr="00D24495" w:rsidRDefault="00C50390" w:rsidP="00C50390">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C50390" w:rsidRDefault="00C50390" w:rsidP="00C50390">
      <w:pPr>
        <w:spacing w:line="360" w:lineRule="auto"/>
        <w:ind w:firstLine="720"/>
        <w:jc w:val="both"/>
        <w:rPr>
          <w:rFonts w:asciiTheme="majorBidi" w:hAnsiTheme="majorBidi" w:cstheme="majorBidi"/>
          <w:sz w:val="28"/>
          <w:szCs w:val="28"/>
        </w:rPr>
      </w:pPr>
      <w:r w:rsidRPr="00A91CEA">
        <w:rPr>
          <w:rFonts w:ascii="Times New Roman" w:hAnsi="Times New Roman" w:cs="Times New Roman"/>
          <w:sz w:val="28"/>
          <w:szCs w:val="26"/>
        </w:rPr>
        <w:t xml:space="preserve">This is to certify that this project was carried out by </w:t>
      </w:r>
      <w:r w:rsidR="00A91CEA" w:rsidRPr="00A91CEA">
        <w:rPr>
          <w:rFonts w:ascii="Times New Roman" w:hAnsi="Times New Roman" w:cs="Times New Roman"/>
          <w:b/>
          <w:bCs/>
          <w:sz w:val="28"/>
          <w:szCs w:val="26"/>
        </w:rPr>
        <w:t>AddiKabiratRemilekun</w:t>
      </w:r>
      <w:r w:rsidRPr="00A91CEA">
        <w:rPr>
          <w:rFonts w:ascii="Times New Roman" w:hAnsi="Times New Roman" w:cs="Times New Roman"/>
          <w:bCs/>
          <w:sz w:val="28"/>
          <w:szCs w:val="26"/>
        </w:rPr>
        <w:t xml:space="preserve">of </w:t>
      </w:r>
      <w:r w:rsidR="00A91CEA" w:rsidRPr="00A91CEA">
        <w:rPr>
          <w:rFonts w:ascii="Times New Roman" w:hAnsi="Times New Roman" w:cs="Times New Roman"/>
          <w:bCs/>
          <w:sz w:val="28"/>
          <w:szCs w:val="26"/>
        </w:rPr>
        <w:t>Chemistry/</w:t>
      </w:r>
      <w:r w:rsidRPr="00A91CEA">
        <w:rPr>
          <w:rFonts w:ascii="Times New Roman" w:hAnsi="Times New Roman" w:cs="Times New Roman"/>
          <w:bCs/>
          <w:sz w:val="28"/>
          <w:szCs w:val="26"/>
        </w:rPr>
        <w:t>Mathematics department.</w:t>
      </w:r>
      <w:r w:rsidRPr="00A91CEA">
        <w:rPr>
          <w:rFonts w:asciiTheme="majorBidi" w:hAnsiTheme="majorBidi" w:cstheme="majorBidi"/>
          <w:sz w:val="30"/>
          <w:szCs w:val="28"/>
        </w:rPr>
        <w:t xml:space="preserve">This project has been read and approved as meeting the requirement of Department of </w:t>
      </w:r>
      <w:r w:rsidR="00A91CEA" w:rsidRPr="00A91CEA">
        <w:rPr>
          <w:rFonts w:ascii="Times New Roman" w:hAnsi="Times New Roman" w:cs="Times New Roman"/>
          <w:bCs/>
          <w:sz w:val="28"/>
          <w:szCs w:val="26"/>
        </w:rPr>
        <w:t>Chemistry/Mathematics</w:t>
      </w:r>
      <w:r w:rsidRPr="00A91CEA">
        <w:rPr>
          <w:rFonts w:asciiTheme="majorBidi" w:hAnsiTheme="majorBidi" w:cstheme="majorBidi"/>
          <w:sz w:val="30"/>
          <w:szCs w:val="28"/>
        </w:rPr>
        <w:t>, Kwara State College of Education, Ilorin in partial fulfillment for the award of Nigeria Certificate in Education (NCE).</w:t>
      </w:r>
    </w:p>
    <w:p w:rsidR="00C50390" w:rsidRDefault="00C50390" w:rsidP="00C50390">
      <w:pPr>
        <w:spacing w:after="0" w:line="360" w:lineRule="auto"/>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p>
    <w:p w:rsidR="00C50390" w:rsidRDefault="00A91CEA" w:rsidP="00C50390">
      <w:pPr>
        <w:spacing w:after="0"/>
        <w:jc w:val="both"/>
        <w:rPr>
          <w:rFonts w:asciiTheme="majorBidi" w:hAnsiTheme="majorBidi" w:cstheme="majorBidi"/>
          <w:b/>
          <w:bCs/>
          <w:sz w:val="28"/>
          <w:szCs w:val="28"/>
        </w:rPr>
      </w:pPr>
      <w:r>
        <w:rPr>
          <w:rFonts w:ascii="Times New Roman" w:hAnsi="Times New Roman" w:cs="Times New Roman"/>
          <w:b/>
          <w:sz w:val="26"/>
          <w:szCs w:val="26"/>
        </w:rPr>
        <w:t>__________________</w:t>
      </w:r>
      <w:r w:rsidR="00C50390">
        <w:rPr>
          <w:rFonts w:ascii="Times New Roman" w:hAnsi="Times New Roman" w:cs="Times New Roman"/>
          <w:b/>
          <w:sz w:val="26"/>
          <w:szCs w:val="26"/>
        </w:rPr>
        <w:tab/>
      </w:r>
      <w:r w:rsidR="00C50390">
        <w:rPr>
          <w:rFonts w:ascii="Times New Roman" w:hAnsi="Times New Roman" w:cs="Times New Roman"/>
          <w:b/>
          <w:sz w:val="26"/>
          <w:szCs w:val="26"/>
        </w:rPr>
        <w:tab/>
      </w:r>
      <w:r w:rsidR="00C50390">
        <w:rPr>
          <w:rFonts w:ascii="Times New Roman" w:hAnsi="Times New Roman" w:cs="Times New Roman"/>
          <w:b/>
          <w:sz w:val="26"/>
          <w:szCs w:val="26"/>
        </w:rPr>
        <w:tab/>
      </w:r>
      <w:r w:rsidR="00C50390">
        <w:rPr>
          <w:rFonts w:asciiTheme="majorBidi" w:hAnsiTheme="majorBidi" w:cstheme="majorBidi"/>
          <w:b/>
          <w:bCs/>
          <w:sz w:val="28"/>
          <w:szCs w:val="28"/>
        </w:rPr>
        <w:t>___________</w:t>
      </w:r>
      <w:r w:rsidR="00C50390">
        <w:rPr>
          <w:rFonts w:asciiTheme="majorBidi" w:hAnsiTheme="majorBidi" w:cstheme="majorBidi"/>
          <w:b/>
          <w:bCs/>
          <w:sz w:val="28"/>
          <w:szCs w:val="28"/>
        </w:rPr>
        <w:tab/>
      </w:r>
      <w:r w:rsidR="00C50390">
        <w:rPr>
          <w:rFonts w:asciiTheme="majorBidi" w:hAnsiTheme="majorBidi" w:cstheme="majorBidi"/>
          <w:b/>
          <w:bCs/>
          <w:sz w:val="28"/>
          <w:szCs w:val="28"/>
        </w:rPr>
        <w:tab/>
        <w:t>____________</w:t>
      </w:r>
    </w:p>
    <w:p w:rsidR="00C50390" w:rsidRDefault="00C50390" w:rsidP="00C50390">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C50390" w:rsidRDefault="00C50390" w:rsidP="00C50390">
      <w:pPr>
        <w:spacing w:after="0"/>
        <w:jc w:val="both"/>
        <w:rPr>
          <w:rFonts w:asciiTheme="majorBidi" w:hAnsiTheme="majorBidi" w:cstheme="majorBidi"/>
          <w:b/>
          <w:bCs/>
          <w:i/>
          <w:iCs/>
          <w:sz w:val="28"/>
          <w:szCs w:val="28"/>
        </w:rPr>
      </w:pPr>
    </w:p>
    <w:p w:rsidR="00C50390" w:rsidRDefault="00C50390" w:rsidP="00C50390">
      <w:pPr>
        <w:spacing w:after="0"/>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C50390" w:rsidRDefault="00C50390" w:rsidP="00C50390">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C50390" w:rsidRDefault="00C50390" w:rsidP="00C50390">
      <w:pPr>
        <w:spacing w:after="0"/>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p>
    <w:p w:rsidR="00C50390" w:rsidRDefault="00C50390" w:rsidP="00C50390">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C50390" w:rsidRPr="0008664F" w:rsidRDefault="00C50390" w:rsidP="00C50390">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C50390" w:rsidRPr="000D42D2" w:rsidRDefault="00C50390" w:rsidP="00C50390">
      <w:pPr>
        <w:spacing w:after="0"/>
        <w:jc w:val="both"/>
        <w:rPr>
          <w:rFonts w:asciiTheme="majorBidi" w:hAnsiTheme="majorBidi" w:cstheme="majorBidi"/>
          <w:b/>
          <w:bCs/>
          <w:sz w:val="28"/>
          <w:szCs w:val="28"/>
        </w:rPr>
      </w:pPr>
    </w:p>
    <w:p w:rsidR="00C50390" w:rsidRPr="0008664F" w:rsidRDefault="00C50390" w:rsidP="00C50390">
      <w:pPr>
        <w:spacing w:after="0"/>
        <w:jc w:val="both"/>
        <w:rPr>
          <w:rFonts w:asciiTheme="majorBidi" w:hAnsiTheme="majorBidi" w:cstheme="majorBidi"/>
          <w:b/>
          <w:bCs/>
          <w:i/>
          <w:iCs/>
          <w:sz w:val="28"/>
          <w:szCs w:val="28"/>
        </w:rPr>
      </w:pPr>
    </w:p>
    <w:p w:rsidR="00C50390" w:rsidRPr="0008664F" w:rsidRDefault="00C50390" w:rsidP="00C50390">
      <w:pPr>
        <w:spacing w:after="0"/>
        <w:jc w:val="both"/>
        <w:rPr>
          <w:rFonts w:asciiTheme="majorBidi" w:hAnsiTheme="majorBidi" w:cstheme="majorBidi"/>
          <w:b/>
          <w:bCs/>
          <w:i/>
          <w:iCs/>
          <w:sz w:val="28"/>
          <w:szCs w:val="28"/>
        </w:rPr>
      </w:pPr>
    </w:p>
    <w:p w:rsidR="00C50390" w:rsidRPr="00A91CEA" w:rsidRDefault="00C50390" w:rsidP="00C50390">
      <w:pPr>
        <w:jc w:val="center"/>
        <w:rPr>
          <w:rFonts w:asciiTheme="majorBidi" w:hAnsiTheme="majorBidi" w:cstheme="majorBidi"/>
          <w:b/>
          <w:bCs/>
          <w:sz w:val="30"/>
          <w:szCs w:val="28"/>
        </w:rPr>
      </w:pPr>
      <w:r>
        <w:rPr>
          <w:rFonts w:asciiTheme="majorBidi" w:hAnsiTheme="majorBidi" w:cstheme="majorBidi"/>
          <w:b/>
          <w:bCs/>
          <w:sz w:val="28"/>
          <w:szCs w:val="28"/>
        </w:rPr>
        <w:br w:type="page"/>
      </w:r>
      <w:r w:rsidRPr="00A91CEA">
        <w:rPr>
          <w:rFonts w:asciiTheme="majorBidi" w:hAnsiTheme="majorBidi" w:cstheme="majorBidi"/>
          <w:b/>
          <w:bCs/>
          <w:sz w:val="30"/>
          <w:szCs w:val="28"/>
        </w:rPr>
        <w:lastRenderedPageBreak/>
        <w:t>DEDICATION</w:t>
      </w:r>
    </w:p>
    <w:p w:rsidR="00C50390" w:rsidRPr="00A91CEA" w:rsidRDefault="00C50390" w:rsidP="00C50390">
      <w:pPr>
        <w:spacing w:line="360" w:lineRule="auto"/>
        <w:jc w:val="both"/>
        <w:rPr>
          <w:rFonts w:asciiTheme="majorBidi" w:hAnsiTheme="majorBidi" w:cstheme="majorBidi"/>
          <w:sz w:val="30"/>
          <w:szCs w:val="28"/>
        </w:rPr>
      </w:pPr>
      <w:r w:rsidRPr="00A91CEA">
        <w:rPr>
          <w:rFonts w:asciiTheme="majorBidi" w:hAnsiTheme="majorBidi" w:cstheme="majorBidi"/>
          <w:b/>
          <w:bCs/>
          <w:sz w:val="30"/>
          <w:szCs w:val="28"/>
        </w:rPr>
        <w:tab/>
      </w:r>
      <w:r w:rsidRPr="00A91CEA">
        <w:rPr>
          <w:rFonts w:ascii="Times New Roman" w:hAnsi="Times New Roman" w:cs="Times New Roman"/>
          <w:sz w:val="28"/>
          <w:szCs w:val="26"/>
        </w:rPr>
        <w:t>This project is dedicated to Almighty Allah (the Omnipotent, Omnipresent and the Omniscience), the foundation of all wisdom and knowledge who has spared my life from the inception to the end of my academic programme and who will (INSHA ALLAH) continue to be with me till the end of my life.</w:t>
      </w:r>
    </w:p>
    <w:p w:rsidR="00C50390" w:rsidRDefault="00C50390" w:rsidP="00C50390">
      <w:pPr>
        <w:jc w:val="both"/>
      </w:pPr>
      <w:r>
        <w:rPr>
          <w:rFonts w:asciiTheme="majorBidi" w:hAnsiTheme="majorBidi" w:cstheme="majorBidi"/>
          <w:sz w:val="28"/>
          <w:szCs w:val="28"/>
        </w:rPr>
        <w:tab/>
      </w:r>
    </w:p>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C50390" w:rsidRDefault="00C50390" w:rsidP="00C50390">
      <w:pPr>
        <w:spacing w:line="360" w:lineRule="auto"/>
        <w:jc w:val="center"/>
        <w:rPr>
          <w:rFonts w:ascii="Times New Roman" w:hAnsi="Times New Roman" w:cs="Times New Roman"/>
          <w:b/>
          <w:sz w:val="26"/>
          <w:szCs w:val="26"/>
        </w:rPr>
      </w:pPr>
    </w:p>
    <w:p w:rsidR="00C50390" w:rsidRDefault="00C50390" w:rsidP="00C50390">
      <w:pPr>
        <w:spacing w:line="360" w:lineRule="auto"/>
        <w:jc w:val="center"/>
        <w:rPr>
          <w:rFonts w:ascii="Times New Roman" w:hAnsi="Times New Roman" w:cs="Times New Roman"/>
          <w:b/>
          <w:sz w:val="26"/>
          <w:szCs w:val="26"/>
        </w:rPr>
      </w:pPr>
    </w:p>
    <w:p w:rsidR="00C50390" w:rsidRDefault="00C50390" w:rsidP="00C50390">
      <w:pPr>
        <w:spacing w:line="360" w:lineRule="auto"/>
        <w:jc w:val="center"/>
        <w:rPr>
          <w:rFonts w:ascii="Times New Roman" w:hAnsi="Times New Roman" w:cs="Times New Roman"/>
          <w:b/>
          <w:sz w:val="26"/>
          <w:szCs w:val="26"/>
        </w:rPr>
      </w:pPr>
      <w:r>
        <w:rPr>
          <w:rFonts w:ascii="Times New Roman" w:hAnsi="Times New Roman" w:cs="Times New Roman"/>
          <w:b/>
          <w:sz w:val="26"/>
          <w:szCs w:val="26"/>
        </w:rPr>
        <w:br/>
      </w:r>
    </w:p>
    <w:p w:rsidR="00C50390" w:rsidRPr="00A91CEA" w:rsidRDefault="00C50390" w:rsidP="00C50390">
      <w:pPr>
        <w:spacing w:line="360" w:lineRule="auto"/>
        <w:jc w:val="center"/>
        <w:rPr>
          <w:rFonts w:ascii="Times New Roman" w:hAnsi="Times New Roman" w:cs="Times New Roman"/>
          <w:b/>
          <w:sz w:val="28"/>
          <w:szCs w:val="26"/>
        </w:rPr>
      </w:pPr>
      <w:r w:rsidRPr="00A91CEA">
        <w:rPr>
          <w:rFonts w:ascii="Times New Roman" w:hAnsi="Times New Roman" w:cs="Times New Roman"/>
          <w:b/>
          <w:sz w:val="28"/>
          <w:szCs w:val="26"/>
        </w:rPr>
        <w:lastRenderedPageBreak/>
        <w:t>ACKNOWLEDGMENTS</w:t>
      </w:r>
    </w:p>
    <w:p w:rsidR="00C50390" w:rsidRPr="00A91CEA" w:rsidRDefault="00C50390" w:rsidP="00C50390">
      <w:pPr>
        <w:spacing w:line="360" w:lineRule="auto"/>
        <w:ind w:firstLine="720"/>
        <w:jc w:val="both"/>
        <w:rPr>
          <w:rFonts w:ascii="Times New Roman" w:hAnsi="Times New Roman" w:cs="Times New Roman"/>
          <w:sz w:val="28"/>
          <w:szCs w:val="26"/>
        </w:rPr>
      </w:pPr>
      <w:r w:rsidRPr="00A91CEA">
        <w:rPr>
          <w:rFonts w:ascii="Times New Roman" w:hAnsi="Times New Roman" w:cs="Times New Roman"/>
          <w:sz w:val="28"/>
          <w:szCs w:val="26"/>
        </w:rPr>
        <w:t>I wish to express my profound gratitude and appreciation to Almighty Allah for mercies and compassion, protection portion and guidance throughout my academic pursuit in Kwara State College of Education, Ilorin.</w:t>
      </w:r>
    </w:p>
    <w:p w:rsidR="00C50390" w:rsidRPr="00A91CEA" w:rsidRDefault="00C50390" w:rsidP="00C50390">
      <w:pPr>
        <w:spacing w:line="360" w:lineRule="auto"/>
        <w:ind w:firstLine="720"/>
        <w:jc w:val="both"/>
        <w:rPr>
          <w:rFonts w:ascii="Times New Roman" w:hAnsi="Times New Roman" w:cs="Times New Roman"/>
          <w:sz w:val="28"/>
          <w:szCs w:val="26"/>
        </w:rPr>
      </w:pPr>
      <w:r w:rsidRPr="00A91CEA">
        <w:rPr>
          <w:rFonts w:ascii="Times New Roman" w:hAnsi="Times New Roman" w:cs="Times New Roman"/>
          <w:sz w:val="28"/>
          <w:szCs w:val="26"/>
        </w:rPr>
        <w:t>My special thanks goes to my able and amiable supervisor, MR</w:t>
      </w:r>
      <w:r w:rsidR="00A91CEA" w:rsidRPr="00A91CEA">
        <w:rPr>
          <w:rFonts w:ascii="Times New Roman" w:hAnsi="Times New Roman" w:cs="Times New Roman"/>
          <w:sz w:val="28"/>
          <w:szCs w:val="26"/>
        </w:rPr>
        <w:t>S</w:t>
      </w:r>
      <w:r w:rsidRPr="00A91CEA">
        <w:rPr>
          <w:rFonts w:ascii="Times New Roman" w:hAnsi="Times New Roman" w:cs="Times New Roman"/>
          <w:sz w:val="28"/>
          <w:szCs w:val="26"/>
        </w:rPr>
        <w:t xml:space="preserve">. </w:t>
      </w:r>
      <w:r w:rsidR="00201B8D">
        <w:rPr>
          <w:rFonts w:ascii="Times New Roman" w:hAnsi="Times New Roman" w:cs="Times New Roman"/>
          <w:sz w:val="28"/>
          <w:szCs w:val="26"/>
        </w:rPr>
        <w:t xml:space="preserve">A.M. </w:t>
      </w:r>
      <w:r w:rsidR="00A91CEA" w:rsidRPr="00A91CEA">
        <w:rPr>
          <w:rFonts w:ascii="Times New Roman" w:hAnsi="Times New Roman" w:cs="Times New Roman"/>
          <w:sz w:val="28"/>
          <w:szCs w:val="26"/>
        </w:rPr>
        <w:t>JUNAID</w:t>
      </w:r>
      <w:r w:rsidRPr="00A91CEA">
        <w:rPr>
          <w:rFonts w:ascii="Times New Roman" w:hAnsi="Times New Roman" w:cs="Times New Roman"/>
          <w:sz w:val="28"/>
          <w:szCs w:val="26"/>
        </w:rPr>
        <w:t>for h</w:t>
      </w:r>
      <w:r w:rsidR="00A91CEA" w:rsidRPr="00A91CEA">
        <w:rPr>
          <w:rFonts w:ascii="Times New Roman" w:hAnsi="Times New Roman" w:cs="Times New Roman"/>
          <w:sz w:val="28"/>
          <w:szCs w:val="26"/>
        </w:rPr>
        <w:t>er</w:t>
      </w:r>
      <w:r w:rsidRPr="00A91CEA">
        <w:rPr>
          <w:rFonts w:ascii="Times New Roman" w:hAnsi="Times New Roman" w:cs="Times New Roman"/>
          <w:sz w:val="28"/>
          <w:szCs w:val="26"/>
        </w:rPr>
        <w:t xml:space="preserve"> patience, assistance and devoted time, to make necessary corrections, give useful advice in the supervision of this research project, may Almighty Allah bless and enrich</w:t>
      </w:r>
      <w:r w:rsidR="00A91CEA" w:rsidRPr="00A91CEA">
        <w:rPr>
          <w:rFonts w:ascii="Times New Roman" w:hAnsi="Times New Roman" w:cs="Times New Roman"/>
          <w:sz w:val="28"/>
          <w:szCs w:val="26"/>
        </w:rPr>
        <w:t xml:space="preserve">es her </w:t>
      </w:r>
      <w:r w:rsidRPr="00A91CEA">
        <w:rPr>
          <w:rFonts w:ascii="Times New Roman" w:hAnsi="Times New Roman" w:cs="Times New Roman"/>
          <w:sz w:val="28"/>
          <w:szCs w:val="26"/>
        </w:rPr>
        <w:t>abundantly (AMEEN).</w:t>
      </w:r>
    </w:p>
    <w:p w:rsidR="00C50390" w:rsidRPr="00A91CEA" w:rsidRDefault="00C50390" w:rsidP="00C50390">
      <w:pPr>
        <w:spacing w:line="360" w:lineRule="auto"/>
        <w:ind w:firstLine="720"/>
        <w:jc w:val="both"/>
        <w:rPr>
          <w:rFonts w:ascii="Times New Roman" w:hAnsi="Times New Roman" w:cs="Times New Roman"/>
          <w:sz w:val="28"/>
          <w:szCs w:val="26"/>
        </w:rPr>
      </w:pPr>
      <w:r w:rsidRPr="00A91CEA">
        <w:rPr>
          <w:rFonts w:ascii="Times New Roman" w:hAnsi="Times New Roman" w:cs="Times New Roman"/>
          <w:sz w:val="28"/>
          <w:szCs w:val="26"/>
        </w:rPr>
        <w:t xml:space="preserve">My appreciation goes to my able </w:t>
      </w:r>
      <w:r w:rsidRPr="00A91CEA">
        <w:rPr>
          <w:rFonts w:ascii="Times New Roman" w:hAnsi="Times New Roman" w:cs="Times New Roman"/>
          <w:bCs/>
          <w:sz w:val="28"/>
          <w:szCs w:val="26"/>
        </w:rPr>
        <w:t xml:space="preserve">H.O.D, </w:t>
      </w:r>
      <w:r w:rsidR="00A91CEA" w:rsidRPr="00A91CEA">
        <w:rPr>
          <w:rFonts w:ascii="Times New Roman" w:hAnsi="Times New Roman" w:cs="Times New Roman"/>
          <w:bCs/>
          <w:sz w:val="28"/>
          <w:szCs w:val="26"/>
        </w:rPr>
        <w:t>DR. V. O</w:t>
      </w:r>
      <w:r w:rsidRPr="00A91CEA">
        <w:rPr>
          <w:rFonts w:ascii="Times New Roman" w:hAnsi="Times New Roman" w:cs="Times New Roman"/>
          <w:bCs/>
          <w:sz w:val="28"/>
          <w:szCs w:val="26"/>
        </w:rPr>
        <w:t>.</w:t>
      </w:r>
      <w:r w:rsidR="00A91CEA" w:rsidRPr="00A91CEA">
        <w:rPr>
          <w:rFonts w:ascii="Times New Roman" w:hAnsi="Times New Roman" w:cs="Times New Roman"/>
          <w:bCs/>
          <w:sz w:val="28"/>
          <w:szCs w:val="26"/>
        </w:rPr>
        <w:t xml:space="preserve"> BABATUNDE</w:t>
      </w:r>
      <w:r w:rsidRPr="00A91CEA">
        <w:rPr>
          <w:rFonts w:ascii="Times New Roman" w:hAnsi="Times New Roman" w:cs="Times New Roman"/>
          <w:sz w:val="28"/>
          <w:szCs w:val="26"/>
        </w:rPr>
        <w:t>and also goes to my diligent lecturers for their assistance and meaningful advice during my time in school may God bless them and their family (AMEEN).</w:t>
      </w:r>
    </w:p>
    <w:p w:rsidR="00C50390" w:rsidRPr="00A91CEA" w:rsidRDefault="00C50390" w:rsidP="00C50390">
      <w:pPr>
        <w:spacing w:line="360" w:lineRule="auto"/>
        <w:ind w:firstLine="720"/>
        <w:jc w:val="both"/>
        <w:rPr>
          <w:rFonts w:ascii="Times New Roman" w:hAnsi="Times New Roman" w:cs="Times New Roman"/>
          <w:sz w:val="28"/>
          <w:szCs w:val="26"/>
        </w:rPr>
      </w:pPr>
      <w:r w:rsidRPr="00A91CEA">
        <w:rPr>
          <w:rFonts w:ascii="Times New Roman" w:hAnsi="Times New Roman" w:cs="Times New Roman"/>
          <w:sz w:val="28"/>
          <w:szCs w:val="26"/>
        </w:rPr>
        <w:t>I am extremely grateful to my parents Mr and Mrs</w:t>
      </w:r>
      <w:r w:rsidR="00A91CEA" w:rsidRPr="00A91CEA">
        <w:rPr>
          <w:rFonts w:ascii="Times New Roman" w:hAnsi="Times New Roman" w:cs="Times New Roman"/>
          <w:sz w:val="28"/>
          <w:szCs w:val="26"/>
        </w:rPr>
        <w:t>Addi</w:t>
      </w:r>
      <w:r w:rsidRPr="00A91CEA">
        <w:rPr>
          <w:rFonts w:ascii="Times New Roman" w:hAnsi="Times New Roman" w:cs="Times New Roman"/>
          <w:sz w:val="28"/>
          <w:szCs w:val="26"/>
        </w:rPr>
        <w:t xml:space="preserve"> for their love, prayer, caring and sacrifices for educating and preparing me for my future. I am very much thankful to my sibling</w:t>
      </w:r>
      <w:r w:rsidR="00A91CEA" w:rsidRPr="00A91CEA">
        <w:rPr>
          <w:rFonts w:ascii="Times New Roman" w:hAnsi="Times New Roman" w:cs="Times New Roman"/>
          <w:sz w:val="28"/>
          <w:szCs w:val="26"/>
        </w:rPr>
        <w:t xml:space="preserve"> and family</w:t>
      </w:r>
      <w:r w:rsidRPr="00A91CEA">
        <w:rPr>
          <w:rFonts w:ascii="Times New Roman" w:hAnsi="Times New Roman" w:cs="Times New Roman"/>
          <w:sz w:val="28"/>
          <w:szCs w:val="26"/>
        </w:rPr>
        <w:t xml:space="preserve"> for their support and prayers. May God bless you all.</w:t>
      </w:r>
    </w:p>
    <w:p w:rsidR="00C50390" w:rsidRPr="000503C8" w:rsidRDefault="00C50390" w:rsidP="00C50390">
      <w:pPr>
        <w:spacing w:line="360" w:lineRule="auto"/>
        <w:ind w:firstLine="720"/>
        <w:jc w:val="both"/>
        <w:rPr>
          <w:rFonts w:ascii="Times New Roman" w:hAnsi="Times New Roman" w:cs="Times New Roman"/>
          <w:sz w:val="26"/>
          <w:szCs w:val="26"/>
        </w:rPr>
      </w:pPr>
      <w:r w:rsidRPr="00A91CEA">
        <w:rPr>
          <w:rFonts w:ascii="Times New Roman" w:hAnsi="Times New Roman" w:cs="Times New Roman"/>
          <w:sz w:val="28"/>
          <w:szCs w:val="26"/>
        </w:rPr>
        <w:t xml:space="preserve">My appreciation lastly defines my humble boss, mentor, editor and adviser </w:t>
      </w:r>
      <w:r w:rsidRPr="00A91CEA">
        <w:rPr>
          <w:rFonts w:ascii="Times New Roman" w:hAnsi="Times New Roman" w:cs="Times New Roman"/>
          <w:b/>
          <w:bCs/>
          <w:sz w:val="28"/>
          <w:szCs w:val="26"/>
        </w:rPr>
        <w:t>MR.ABDULRASHEED AYINLA</w:t>
      </w:r>
      <w:r w:rsidRPr="00A91CEA">
        <w:rPr>
          <w:rFonts w:ascii="Times New Roman" w:hAnsi="Times New Roman" w:cs="Times New Roman"/>
          <w:sz w:val="28"/>
          <w:szCs w:val="26"/>
        </w:rPr>
        <w:t xml:space="preserve"> for his undeniable and </w:t>
      </w:r>
      <w:r w:rsidR="009F0377" w:rsidRPr="00A91CEA">
        <w:rPr>
          <w:rFonts w:ascii="Times New Roman" w:hAnsi="Times New Roman" w:cs="Times New Roman"/>
          <w:sz w:val="28"/>
          <w:szCs w:val="26"/>
        </w:rPr>
        <w:t>unparalleled</w:t>
      </w:r>
      <w:r w:rsidRPr="00A91CEA">
        <w:rPr>
          <w:rFonts w:ascii="Times New Roman" w:hAnsi="Times New Roman" w:cs="Times New Roman"/>
          <w:sz w:val="28"/>
          <w:szCs w:val="26"/>
        </w:rPr>
        <w:t xml:space="preserve"> mentorship throughout my research. I am incredibly grateful for the time and effort you have invested in my development. May Almighty Allah continue to bless you and your family (AMEEN).</w:t>
      </w:r>
    </w:p>
    <w:p w:rsidR="00C50390" w:rsidRDefault="00C50390" w:rsidP="00C50390">
      <w:pPr>
        <w:pStyle w:val="Heading1"/>
        <w:rPr>
          <w:rFonts w:asciiTheme="majorBidi" w:hAnsiTheme="majorBidi" w:cstheme="majorBidi"/>
          <w:szCs w:val="28"/>
        </w:rPr>
      </w:pPr>
    </w:p>
    <w:p w:rsidR="00C50390" w:rsidRDefault="00C50390" w:rsidP="00C50390">
      <w:pPr>
        <w:rPr>
          <w:lang w:val="en-GB"/>
        </w:rPr>
      </w:pPr>
    </w:p>
    <w:p w:rsidR="00C50390" w:rsidRDefault="00C50390" w:rsidP="00C50390">
      <w:pPr>
        <w:rPr>
          <w:rFonts w:asciiTheme="majorBidi" w:eastAsia="Times New Roman" w:hAnsiTheme="majorBidi" w:cstheme="majorBidi"/>
          <w:b/>
          <w:bCs/>
          <w:sz w:val="28"/>
          <w:szCs w:val="28"/>
          <w:lang w:val="en-GB"/>
        </w:rPr>
      </w:pPr>
    </w:p>
    <w:p w:rsidR="00C50390" w:rsidRPr="00CD47C6" w:rsidRDefault="00C50390" w:rsidP="00C50390">
      <w:pPr>
        <w:rPr>
          <w:lang w:val="en-GB"/>
        </w:rPr>
      </w:pPr>
    </w:p>
    <w:p w:rsidR="00C50390" w:rsidRDefault="00C50390" w:rsidP="00C50390">
      <w:pPr>
        <w:pStyle w:val="Heading1"/>
        <w:rPr>
          <w:rFonts w:asciiTheme="majorBidi" w:hAnsiTheme="majorBidi" w:cstheme="majorBidi"/>
          <w:szCs w:val="28"/>
        </w:rPr>
      </w:pPr>
    </w:p>
    <w:p w:rsidR="00C50390" w:rsidRDefault="00C50390" w:rsidP="00C50390">
      <w:pPr>
        <w:rPr>
          <w:lang w:val="en-GB"/>
        </w:rPr>
      </w:pPr>
    </w:p>
    <w:p w:rsidR="00A91CEA" w:rsidRDefault="00A91CEA" w:rsidP="00C50390">
      <w:pPr>
        <w:rPr>
          <w:lang w:val="en-GB"/>
        </w:rPr>
      </w:pPr>
    </w:p>
    <w:p w:rsidR="00C50390" w:rsidRPr="009F0377" w:rsidRDefault="00C50390" w:rsidP="00C50390">
      <w:pPr>
        <w:pStyle w:val="Heading1"/>
        <w:rPr>
          <w:rFonts w:asciiTheme="majorBidi" w:hAnsiTheme="majorBidi" w:cstheme="majorBidi"/>
          <w:sz w:val="30"/>
          <w:szCs w:val="28"/>
        </w:rPr>
      </w:pPr>
      <w:r w:rsidRPr="009F0377">
        <w:rPr>
          <w:rFonts w:asciiTheme="majorBidi" w:hAnsiTheme="majorBidi" w:cstheme="majorBidi"/>
          <w:sz w:val="30"/>
          <w:szCs w:val="28"/>
        </w:rPr>
        <w:lastRenderedPageBreak/>
        <w:t>TABLE OF CONTENTS</w:t>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Title Page</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t xml:space="preserve">  i</w:t>
      </w:r>
    </w:p>
    <w:p w:rsidR="00C50390" w:rsidRPr="009F0377" w:rsidRDefault="00C50390" w:rsidP="00C50390">
      <w:pPr>
        <w:spacing w:line="240" w:lineRule="auto"/>
        <w:rPr>
          <w:rFonts w:asciiTheme="majorBidi" w:hAnsiTheme="majorBidi" w:cstheme="majorBidi"/>
          <w:b/>
          <w:sz w:val="28"/>
          <w:szCs w:val="26"/>
        </w:rPr>
      </w:pPr>
      <w:r w:rsidRPr="009F0377">
        <w:rPr>
          <w:rFonts w:asciiTheme="majorBidi" w:hAnsiTheme="majorBidi" w:cstheme="majorBidi"/>
          <w:sz w:val="28"/>
          <w:szCs w:val="26"/>
        </w:rPr>
        <w:t>Certifications</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t xml:space="preserve"> ii</w:t>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 xml:space="preserve">Dedication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t>iii</w:t>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Acknowledgements</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t>iv</w:t>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Table of Contents</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t>v</w:t>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Abstract</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t>vi</w:t>
      </w:r>
    </w:p>
    <w:p w:rsidR="00C50390" w:rsidRPr="009F0377" w:rsidRDefault="00C50390" w:rsidP="00C50390">
      <w:pPr>
        <w:spacing w:line="240" w:lineRule="auto"/>
        <w:rPr>
          <w:rFonts w:asciiTheme="majorBidi" w:hAnsiTheme="majorBidi" w:cstheme="majorBidi"/>
          <w:b/>
          <w:sz w:val="28"/>
          <w:szCs w:val="26"/>
        </w:rPr>
      </w:pPr>
      <w:r w:rsidRPr="009F0377">
        <w:rPr>
          <w:rFonts w:asciiTheme="majorBidi" w:hAnsiTheme="majorBidi" w:cstheme="majorBidi"/>
          <w:b/>
          <w:sz w:val="28"/>
          <w:szCs w:val="26"/>
        </w:rPr>
        <w:t>CHAPTER ONE: INTRODUCTION</w:t>
      </w:r>
    </w:p>
    <w:p w:rsidR="00C50390" w:rsidRPr="009F0377" w:rsidRDefault="00C50390" w:rsidP="00C50390">
      <w:pPr>
        <w:pStyle w:val="ListParagraph"/>
        <w:numPr>
          <w:ilvl w:val="1"/>
          <w:numId w:val="1"/>
        </w:numPr>
        <w:spacing w:line="240" w:lineRule="auto"/>
        <w:rPr>
          <w:rFonts w:asciiTheme="majorBidi" w:hAnsiTheme="majorBidi" w:cstheme="majorBidi"/>
          <w:sz w:val="28"/>
          <w:szCs w:val="26"/>
        </w:rPr>
      </w:pPr>
      <w:r w:rsidRPr="009F0377">
        <w:rPr>
          <w:rFonts w:asciiTheme="majorBidi" w:hAnsiTheme="majorBidi" w:cstheme="majorBidi"/>
          <w:sz w:val="28"/>
          <w:szCs w:val="26"/>
        </w:rPr>
        <w:t xml:space="preserve">Background to the Study </w:t>
      </w:r>
      <w:r w:rsidR="00A91CEA" w:rsidRPr="009F0377">
        <w:rPr>
          <w:rFonts w:asciiTheme="majorBidi" w:hAnsiTheme="majorBidi" w:cstheme="majorBidi"/>
          <w:sz w:val="28"/>
          <w:szCs w:val="26"/>
        </w:rPr>
        <w:tab/>
      </w:r>
      <w:r w:rsidR="00A91CEA" w:rsidRPr="009F0377">
        <w:rPr>
          <w:rFonts w:asciiTheme="majorBidi" w:hAnsiTheme="majorBidi" w:cstheme="majorBidi"/>
          <w:sz w:val="28"/>
          <w:szCs w:val="26"/>
        </w:rPr>
        <w:tab/>
      </w:r>
      <w:r w:rsidR="00A91CEA" w:rsidRPr="009F0377">
        <w:rPr>
          <w:rFonts w:asciiTheme="majorBidi" w:hAnsiTheme="majorBidi" w:cstheme="majorBidi"/>
          <w:sz w:val="28"/>
          <w:szCs w:val="26"/>
        </w:rPr>
        <w:tab/>
      </w:r>
      <w:r w:rsidR="00A91CEA" w:rsidRPr="009F0377">
        <w:rPr>
          <w:rFonts w:asciiTheme="majorBidi" w:hAnsiTheme="majorBidi" w:cstheme="majorBidi"/>
          <w:sz w:val="28"/>
          <w:szCs w:val="26"/>
        </w:rPr>
        <w:tab/>
      </w:r>
      <w:r w:rsidR="00A91CEA" w:rsidRPr="009F0377">
        <w:rPr>
          <w:rFonts w:asciiTheme="majorBidi" w:hAnsiTheme="majorBidi" w:cstheme="majorBidi"/>
          <w:sz w:val="28"/>
          <w:szCs w:val="26"/>
        </w:rPr>
        <w:tab/>
      </w:r>
      <w:r w:rsidR="00A91CEA" w:rsidRPr="009F0377">
        <w:rPr>
          <w:rFonts w:asciiTheme="majorBidi" w:hAnsiTheme="majorBidi" w:cstheme="majorBidi"/>
          <w:sz w:val="28"/>
          <w:szCs w:val="26"/>
        </w:rPr>
        <w:tab/>
      </w:r>
      <w:r w:rsidR="00A91CEA"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pStyle w:val="ListParagraph"/>
        <w:numPr>
          <w:ilvl w:val="1"/>
          <w:numId w:val="1"/>
        </w:numPr>
        <w:spacing w:line="240" w:lineRule="auto"/>
        <w:rPr>
          <w:rFonts w:asciiTheme="majorBidi" w:hAnsiTheme="majorBidi" w:cstheme="majorBidi"/>
          <w:sz w:val="28"/>
          <w:szCs w:val="26"/>
        </w:rPr>
      </w:pPr>
      <w:r w:rsidRPr="009F0377">
        <w:rPr>
          <w:rFonts w:asciiTheme="majorBidi" w:hAnsiTheme="majorBidi" w:cstheme="majorBidi"/>
          <w:sz w:val="28"/>
          <w:szCs w:val="26"/>
        </w:rPr>
        <w:t xml:space="preserve">Statement of the Problem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pStyle w:val="ListParagraph"/>
        <w:numPr>
          <w:ilvl w:val="1"/>
          <w:numId w:val="1"/>
        </w:numPr>
        <w:spacing w:line="240" w:lineRule="auto"/>
        <w:rPr>
          <w:rFonts w:asciiTheme="majorBidi" w:hAnsiTheme="majorBidi" w:cstheme="majorBidi"/>
          <w:sz w:val="28"/>
          <w:szCs w:val="26"/>
        </w:rPr>
      </w:pPr>
      <w:r w:rsidRPr="009F0377">
        <w:rPr>
          <w:rFonts w:asciiTheme="majorBidi" w:hAnsiTheme="majorBidi" w:cstheme="majorBidi"/>
          <w:sz w:val="28"/>
          <w:szCs w:val="26"/>
        </w:rPr>
        <w:t xml:space="preserve">Purpose of the Study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1.4</w:t>
      </w:r>
      <w:r w:rsidRPr="009F0377">
        <w:rPr>
          <w:rFonts w:asciiTheme="majorBidi" w:hAnsiTheme="majorBidi" w:cstheme="majorBidi"/>
          <w:sz w:val="28"/>
          <w:szCs w:val="26"/>
        </w:rPr>
        <w:tab/>
        <w:t xml:space="preserve">Research Questions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1.5</w:t>
      </w:r>
      <w:r w:rsidRPr="009F0377">
        <w:rPr>
          <w:rFonts w:asciiTheme="majorBidi" w:hAnsiTheme="majorBidi" w:cstheme="majorBidi"/>
          <w:sz w:val="28"/>
          <w:szCs w:val="26"/>
        </w:rPr>
        <w:tab/>
        <w:t>Significance of the Study</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1.6</w:t>
      </w:r>
      <w:r w:rsidRPr="009F0377">
        <w:rPr>
          <w:rFonts w:asciiTheme="majorBidi" w:hAnsiTheme="majorBidi" w:cstheme="majorBidi"/>
          <w:sz w:val="28"/>
          <w:szCs w:val="26"/>
        </w:rPr>
        <w:tab/>
        <w:t xml:space="preserve">Scope of the Study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A91CEA">
      <w:pPr>
        <w:pStyle w:val="ListParagraph"/>
        <w:numPr>
          <w:ilvl w:val="1"/>
          <w:numId w:val="3"/>
        </w:numPr>
        <w:spacing w:line="240" w:lineRule="auto"/>
        <w:rPr>
          <w:rFonts w:asciiTheme="majorBidi" w:hAnsiTheme="majorBidi" w:cstheme="majorBidi"/>
          <w:sz w:val="28"/>
          <w:szCs w:val="26"/>
        </w:rPr>
      </w:pPr>
      <w:r w:rsidRPr="009F0377">
        <w:rPr>
          <w:rFonts w:asciiTheme="majorBidi" w:hAnsiTheme="majorBidi" w:cstheme="majorBidi"/>
          <w:sz w:val="28"/>
          <w:szCs w:val="26"/>
        </w:rPr>
        <w:t>Definition of Terms</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A91CEA" w:rsidRPr="009F0377" w:rsidRDefault="00C50390" w:rsidP="00A91CEA">
      <w:pPr>
        <w:spacing w:line="240" w:lineRule="auto"/>
        <w:rPr>
          <w:rFonts w:asciiTheme="majorBidi" w:hAnsiTheme="majorBidi" w:cstheme="majorBidi"/>
          <w:b/>
          <w:bCs/>
          <w:sz w:val="30"/>
          <w:szCs w:val="28"/>
        </w:rPr>
      </w:pPr>
      <w:r w:rsidRPr="009F0377">
        <w:rPr>
          <w:rFonts w:asciiTheme="majorBidi" w:hAnsiTheme="majorBidi" w:cstheme="majorBidi"/>
          <w:b/>
          <w:bCs/>
          <w:sz w:val="30"/>
          <w:szCs w:val="28"/>
        </w:rPr>
        <w:t>CHAPTER TWO:  REVIEW OF RELATED LITERATURE</w:t>
      </w:r>
    </w:p>
    <w:p w:rsidR="00A91CEA" w:rsidRPr="009F0377" w:rsidRDefault="00A91CEA" w:rsidP="00A91CEA">
      <w:pPr>
        <w:spacing w:line="240" w:lineRule="auto"/>
        <w:rPr>
          <w:rFonts w:asciiTheme="majorBidi" w:hAnsiTheme="majorBidi" w:cstheme="majorBidi"/>
          <w:b/>
          <w:bCs/>
          <w:sz w:val="30"/>
          <w:szCs w:val="28"/>
        </w:rPr>
      </w:pPr>
      <w:r w:rsidRPr="009F0377">
        <w:rPr>
          <w:rFonts w:ascii="Times New Roman" w:hAnsi="Times New Roman" w:cs="Times New Roman"/>
          <w:bCs/>
          <w:sz w:val="30"/>
          <w:szCs w:val="26"/>
        </w:rPr>
        <w:t>2.1</w:t>
      </w:r>
      <w:r w:rsidRPr="009F0377">
        <w:rPr>
          <w:rFonts w:ascii="Times New Roman" w:hAnsi="Times New Roman" w:cs="Times New Roman"/>
          <w:bCs/>
          <w:sz w:val="30"/>
          <w:szCs w:val="26"/>
        </w:rPr>
        <w:tab/>
        <w:t>Conceptual Framework of E-Learning in Chemistry Education</w:t>
      </w:r>
    </w:p>
    <w:p w:rsidR="00A91CEA" w:rsidRPr="009F0377" w:rsidRDefault="00A91CEA" w:rsidP="00A91CEA">
      <w:pPr>
        <w:spacing w:line="240" w:lineRule="auto"/>
        <w:rPr>
          <w:rFonts w:asciiTheme="majorBidi" w:hAnsiTheme="majorBidi" w:cstheme="majorBidi"/>
          <w:b/>
          <w:bCs/>
          <w:sz w:val="30"/>
          <w:szCs w:val="28"/>
        </w:rPr>
      </w:pPr>
      <w:r w:rsidRPr="009F0377">
        <w:rPr>
          <w:rFonts w:ascii="Times New Roman" w:hAnsi="Times New Roman" w:cs="Times New Roman"/>
          <w:bCs/>
          <w:sz w:val="30"/>
          <w:szCs w:val="26"/>
        </w:rPr>
        <w:t>2.2</w:t>
      </w:r>
      <w:r w:rsidRPr="009F0377">
        <w:rPr>
          <w:rFonts w:ascii="Times New Roman" w:hAnsi="Times New Roman" w:cs="Times New Roman"/>
          <w:bCs/>
          <w:sz w:val="30"/>
          <w:szCs w:val="26"/>
        </w:rPr>
        <w:tab/>
        <w:t>Global and Regional Availability of Chemistry E-Learning Resources</w:t>
      </w:r>
    </w:p>
    <w:p w:rsidR="00A91CEA" w:rsidRPr="009F0377" w:rsidRDefault="00A91CEA" w:rsidP="00A91CEA">
      <w:pPr>
        <w:spacing w:line="240" w:lineRule="auto"/>
        <w:rPr>
          <w:rFonts w:asciiTheme="majorBidi" w:hAnsiTheme="majorBidi" w:cstheme="majorBidi"/>
          <w:b/>
          <w:bCs/>
          <w:sz w:val="30"/>
          <w:szCs w:val="28"/>
        </w:rPr>
      </w:pPr>
      <w:r w:rsidRPr="009F0377">
        <w:rPr>
          <w:rFonts w:ascii="Times New Roman" w:hAnsi="Times New Roman" w:cs="Times New Roman"/>
          <w:bCs/>
          <w:sz w:val="30"/>
          <w:szCs w:val="26"/>
        </w:rPr>
        <w:t>2.3</w:t>
      </w:r>
      <w:r w:rsidRPr="009F0377">
        <w:rPr>
          <w:rFonts w:ascii="Times New Roman" w:hAnsi="Times New Roman" w:cs="Times New Roman"/>
          <w:bCs/>
          <w:sz w:val="30"/>
          <w:szCs w:val="26"/>
        </w:rPr>
        <w:tab/>
        <w:t>Teacher Digital Competencies and Professional Development Needs</w:t>
      </w:r>
    </w:p>
    <w:p w:rsidR="00A91CEA" w:rsidRPr="009F0377" w:rsidRDefault="00A91CEA" w:rsidP="00A91CEA">
      <w:pPr>
        <w:spacing w:line="240" w:lineRule="auto"/>
        <w:rPr>
          <w:rFonts w:asciiTheme="majorBidi" w:hAnsiTheme="majorBidi" w:cstheme="majorBidi"/>
          <w:b/>
          <w:bCs/>
          <w:sz w:val="30"/>
          <w:szCs w:val="28"/>
        </w:rPr>
      </w:pPr>
      <w:r w:rsidRPr="009F0377">
        <w:rPr>
          <w:rFonts w:ascii="Times New Roman" w:hAnsi="Times New Roman" w:cs="Times New Roman"/>
          <w:bCs/>
          <w:sz w:val="30"/>
          <w:szCs w:val="26"/>
        </w:rPr>
        <w:t>2.4</w:t>
      </w:r>
      <w:r w:rsidRPr="009F0377">
        <w:rPr>
          <w:rFonts w:ascii="Times New Roman" w:hAnsi="Times New Roman" w:cs="Times New Roman"/>
          <w:bCs/>
          <w:sz w:val="30"/>
          <w:szCs w:val="26"/>
        </w:rPr>
        <w:tab/>
        <w:t>Student Engagement and Learning Outcomes with E-Learning Tools</w:t>
      </w:r>
    </w:p>
    <w:p w:rsidR="00A91CEA" w:rsidRPr="009F0377" w:rsidRDefault="00A91CEA" w:rsidP="00A91CEA">
      <w:pPr>
        <w:spacing w:line="240" w:lineRule="auto"/>
        <w:rPr>
          <w:rFonts w:asciiTheme="majorBidi" w:hAnsiTheme="majorBidi" w:cstheme="majorBidi"/>
          <w:b/>
          <w:bCs/>
          <w:sz w:val="30"/>
          <w:szCs w:val="28"/>
        </w:rPr>
      </w:pPr>
      <w:r w:rsidRPr="009F0377">
        <w:rPr>
          <w:rFonts w:ascii="Times New Roman" w:hAnsi="Times New Roman" w:cs="Times New Roman"/>
          <w:bCs/>
          <w:sz w:val="30"/>
          <w:szCs w:val="26"/>
        </w:rPr>
        <w:t>2.5</w:t>
      </w:r>
      <w:r w:rsidRPr="009F0377">
        <w:rPr>
          <w:rFonts w:ascii="Times New Roman" w:hAnsi="Times New Roman" w:cs="Times New Roman"/>
          <w:bCs/>
          <w:sz w:val="30"/>
          <w:szCs w:val="26"/>
        </w:rPr>
        <w:tab/>
        <w:t>Systemic Challenges and Barriers to Implementation</w:t>
      </w:r>
    </w:p>
    <w:p w:rsidR="00A91CEA" w:rsidRPr="009F0377" w:rsidRDefault="00A91CEA" w:rsidP="00A91CEA">
      <w:pPr>
        <w:spacing w:line="240" w:lineRule="auto"/>
        <w:rPr>
          <w:rFonts w:asciiTheme="majorBidi" w:hAnsiTheme="majorBidi" w:cstheme="majorBidi"/>
          <w:b/>
          <w:bCs/>
          <w:sz w:val="30"/>
          <w:szCs w:val="28"/>
        </w:rPr>
      </w:pPr>
      <w:r w:rsidRPr="009F0377">
        <w:rPr>
          <w:rFonts w:ascii="Times New Roman" w:hAnsi="Times New Roman" w:cs="Times New Roman"/>
          <w:bCs/>
          <w:sz w:val="30"/>
          <w:szCs w:val="26"/>
        </w:rPr>
        <w:t>2.6</w:t>
      </w:r>
      <w:r w:rsidRPr="009F0377">
        <w:rPr>
          <w:rFonts w:ascii="Times New Roman" w:hAnsi="Times New Roman" w:cs="Times New Roman"/>
          <w:bCs/>
          <w:sz w:val="30"/>
          <w:szCs w:val="26"/>
        </w:rPr>
        <w:tab/>
        <w:t>Emerging Best Practices and Implementation Strategies</w:t>
      </w:r>
    </w:p>
    <w:p w:rsidR="00A91CEA" w:rsidRPr="009F0377" w:rsidRDefault="00A91CEA" w:rsidP="00A91CEA">
      <w:pPr>
        <w:spacing w:line="240" w:lineRule="auto"/>
        <w:rPr>
          <w:rFonts w:asciiTheme="majorBidi" w:hAnsiTheme="majorBidi" w:cstheme="majorBidi"/>
          <w:b/>
          <w:bCs/>
          <w:sz w:val="30"/>
          <w:szCs w:val="28"/>
        </w:rPr>
      </w:pPr>
      <w:r w:rsidRPr="009F0377">
        <w:rPr>
          <w:rFonts w:ascii="Times New Roman" w:hAnsi="Times New Roman" w:cs="Times New Roman"/>
          <w:sz w:val="30"/>
          <w:szCs w:val="26"/>
        </w:rPr>
        <w:t>2.7</w:t>
      </w:r>
      <w:r w:rsidRPr="009F0377">
        <w:rPr>
          <w:rFonts w:ascii="Times New Roman" w:hAnsi="Times New Roman" w:cs="Times New Roman"/>
          <w:sz w:val="30"/>
          <w:szCs w:val="26"/>
        </w:rPr>
        <w:tab/>
        <w:t>Summary of Literature Review</w:t>
      </w:r>
    </w:p>
    <w:p w:rsidR="00C50390" w:rsidRPr="009F0377" w:rsidRDefault="00C50390" w:rsidP="00A91CEA">
      <w:pPr>
        <w:autoSpaceDE w:val="0"/>
        <w:autoSpaceDN w:val="0"/>
        <w:adjustRightInd w:val="0"/>
        <w:spacing w:after="0" w:line="360" w:lineRule="auto"/>
        <w:jc w:val="both"/>
        <w:rPr>
          <w:rFonts w:asciiTheme="majorBidi" w:hAnsiTheme="majorBidi" w:cstheme="majorBidi"/>
          <w:b/>
          <w:sz w:val="26"/>
          <w:szCs w:val="28"/>
        </w:rPr>
      </w:pPr>
      <w:r w:rsidRPr="009F0377">
        <w:rPr>
          <w:rFonts w:asciiTheme="majorBidi" w:hAnsiTheme="majorBidi" w:cstheme="majorBidi"/>
          <w:b/>
          <w:sz w:val="26"/>
          <w:szCs w:val="28"/>
        </w:rPr>
        <w:t>CHAPTER THREE: RESEARCH METHODS</w:t>
      </w:r>
    </w:p>
    <w:p w:rsidR="00C50390" w:rsidRPr="009F0377" w:rsidRDefault="00C50390" w:rsidP="00C50390">
      <w:pPr>
        <w:autoSpaceDE w:val="0"/>
        <w:autoSpaceDN w:val="0"/>
        <w:adjustRightInd w:val="0"/>
        <w:spacing w:after="0" w:line="360" w:lineRule="auto"/>
        <w:jc w:val="both"/>
        <w:rPr>
          <w:rFonts w:asciiTheme="majorBidi" w:hAnsiTheme="majorBidi" w:cstheme="majorBidi"/>
          <w:sz w:val="28"/>
          <w:szCs w:val="26"/>
        </w:rPr>
      </w:pPr>
      <w:r w:rsidRPr="009F0377">
        <w:rPr>
          <w:rFonts w:asciiTheme="majorBidi" w:hAnsiTheme="majorBidi" w:cstheme="majorBidi"/>
          <w:sz w:val="28"/>
          <w:szCs w:val="26"/>
        </w:rPr>
        <w:t>3.0</w:t>
      </w:r>
      <w:r w:rsidRPr="009F0377">
        <w:rPr>
          <w:rFonts w:asciiTheme="majorBidi" w:hAnsiTheme="majorBidi" w:cstheme="majorBidi"/>
          <w:sz w:val="28"/>
          <w:szCs w:val="26"/>
        </w:rPr>
        <w:tab/>
        <w:t xml:space="preserve">Introduction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autoSpaceDE w:val="0"/>
        <w:autoSpaceDN w:val="0"/>
        <w:adjustRightInd w:val="0"/>
        <w:spacing w:after="0" w:line="360" w:lineRule="auto"/>
        <w:jc w:val="both"/>
        <w:rPr>
          <w:rFonts w:asciiTheme="majorBidi" w:hAnsiTheme="majorBidi" w:cstheme="majorBidi"/>
          <w:sz w:val="28"/>
          <w:szCs w:val="26"/>
        </w:rPr>
      </w:pPr>
      <w:r w:rsidRPr="009F0377">
        <w:rPr>
          <w:rFonts w:asciiTheme="majorBidi" w:hAnsiTheme="majorBidi" w:cstheme="majorBidi"/>
          <w:sz w:val="28"/>
          <w:szCs w:val="26"/>
        </w:rPr>
        <w:t>3.1</w:t>
      </w:r>
      <w:r w:rsidRPr="009F0377">
        <w:rPr>
          <w:rFonts w:asciiTheme="majorBidi" w:hAnsiTheme="majorBidi" w:cstheme="majorBidi"/>
          <w:sz w:val="28"/>
          <w:szCs w:val="26"/>
        </w:rPr>
        <w:tab/>
        <w:t xml:space="preserve">Research Design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autoSpaceDE w:val="0"/>
        <w:autoSpaceDN w:val="0"/>
        <w:adjustRightInd w:val="0"/>
        <w:spacing w:after="0" w:line="360" w:lineRule="auto"/>
        <w:jc w:val="both"/>
        <w:rPr>
          <w:rFonts w:asciiTheme="majorBidi" w:hAnsiTheme="majorBidi" w:cstheme="majorBidi"/>
          <w:sz w:val="28"/>
          <w:szCs w:val="26"/>
        </w:rPr>
      </w:pPr>
      <w:r w:rsidRPr="009F0377">
        <w:rPr>
          <w:rFonts w:asciiTheme="majorBidi" w:hAnsiTheme="majorBidi" w:cstheme="majorBidi"/>
          <w:sz w:val="28"/>
          <w:szCs w:val="26"/>
        </w:rPr>
        <w:t>3.2</w:t>
      </w:r>
      <w:r w:rsidRPr="009F0377">
        <w:rPr>
          <w:rFonts w:asciiTheme="majorBidi" w:hAnsiTheme="majorBidi" w:cstheme="majorBidi"/>
          <w:sz w:val="28"/>
          <w:szCs w:val="26"/>
        </w:rPr>
        <w:tab/>
        <w:t xml:space="preserve">Population of the Study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autoSpaceDE w:val="0"/>
        <w:autoSpaceDN w:val="0"/>
        <w:adjustRightInd w:val="0"/>
        <w:spacing w:after="0" w:line="360" w:lineRule="auto"/>
        <w:jc w:val="both"/>
        <w:rPr>
          <w:rFonts w:asciiTheme="majorBidi" w:hAnsiTheme="majorBidi" w:cstheme="majorBidi"/>
          <w:sz w:val="28"/>
          <w:szCs w:val="26"/>
        </w:rPr>
      </w:pPr>
      <w:r w:rsidRPr="009F0377">
        <w:rPr>
          <w:rFonts w:asciiTheme="majorBidi" w:hAnsiTheme="majorBidi" w:cstheme="majorBidi"/>
          <w:sz w:val="28"/>
          <w:szCs w:val="26"/>
        </w:rPr>
        <w:t>3.3</w:t>
      </w:r>
      <w:r w:rsidRPr="009F0377">
        <w:rPr>
          <w:rFonts w:asciiTheme="majorBidi" w:hAnsiTheme="majorBidi" w:cstheme="majorBidi"/>
          <w:sz w:val="28"/>
          <w:szCs w:val="26"/>
        </w:rPr>
        <w:tab/>
        <w:t xml:space="preserve">Sample and Sampling Techniques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autoSpaceDE w:val="0"/>
        <w:autoSpaceDN w:val="0"/>
        <w:adjustRightInd w:val="0"/>
        <w:spacing w:after="0" w:line="360" w:lineRule="auto"/>
        <w:jc w:val="both"/>
        <w:rPr>
          <w:rFonts w:asciiTheme="majorBidi" w:hAnsiTheme="majorBidi" w:cstheme="majorBidi"/>
          <w:sz w:val="28"/>
          <w:szCs w:val="26"/>
        </w:rPr>
      </w:pPr>
      <w:r w:rsidRPr="009F0377">
        <w:rPr>
          <w:rFonts w:asciiTheme="majorBidi" w:hAnsiTheme="majorBidi" w:cstheme="majorBidi"/>
          <w:sz w:val="28"/>
          <w:szCs w:val="26"/>
        </w:rPr>
        <w:t>3.4</w:t>
      </w:r>
      <w:r w:rsidRPr="009F0377">
        <w:rPr>
          <w:rFonts w:asciiTheme="majorBidi" w:hAnsiTheme="majorBidi" w:cstheme="majorBidi"/>
          <w:sz w:val="28"/>
          <w:szCs w:val="26"/>
        </w:rPr>
        <w:tab/>
        <w:t xml:space="preserve">Research Instrument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autoSpaceDE w:val="0"/>
        <w:autoSpaceDN w:val="0"/>
        <w:adjustRightInd w:val="0"/>
        <w:spacing w:after="0" w:line="360" w:lineRule="auto"/>
        <w:jc w:val="both"/>
        <w:rPr>
          <w:rFonts w:asciiTheme="majorBidi" w:hAnsiTheme="majorBidi" w:cstheme="majorBidi"/>
          <w:b/>
          <w:bCs/>
          <w:sz w:val="28"/>
          <w:szCs w:val="26"/>
        </w:rPr>
      </w:pPr>
      <w:r w:rsidRPr="009F0377">
        <w:rPr>
          <w:rFonts w:asciiTheme="majorBidi" w:hAnsiTheme="majorBidi" w:cstheme="majorBidi"/>
          <w:sz w:val="28"/>
          <w:szCs w:val="26"/>
        </w:rPr>
        <w:lastRenderedPageBreak/>
        <w:t>3.5</w:t>
      </w:r>
      <w:r w:rsidRPr="009F0377">
        <w:rPr>
          <w:rFonts w:asciiTheme="majorBidi" w:hAnsiTheme="majorBidi" w:cstheme="majorBidi"/>
          <w:sz w:val="28"/>
          <w:szCs w:val="26"/>
        </w:rPr>
        <w:tab/>
        <w:t xml:space="preserve">Validity of the Instrument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pStyle w:val="Heading4"/>
        <w:spacing w:line="240" w:lineRule="auto"/>
        <w:ind w:left="0"/>
        <w:rPr>
          <w:rFonts w:asciiTheme="majorBidi" w:hAnsiTheme="majorBidi" w:cstheme="majorBidi"/>
          <w:b w:val="0"/>
          <w:bCs w:val="0"/>
          <w:szCs w:val="26"/>
        </w:rPr>
      </w:pPr>
      <w:r w:rsidRPr="009F0377">
        <w:rPr>
          <w:rFonts w:asciiTheme="majorBidi" w:hAnsiTheme="majorBidi" w:cstheme="majorBidi"/>
          <w:b w:val="0"/>
          <w:bCs w:val="0"/>
          <w:szCs w:val="26"/>
        </w:rPr>
        <w:t>3.6</w:t>
      </w:r>
      <w:r w:rsidRPr="009F0377">
        <w:rPr>
          <w:rFonts w:asciiTheme="majorBidi" w:hAnsiTheme="majorBidi" w:cstheme="majorBidi"/>
          <w:b w:val="0"/>
          <w:bCs w:val="0"/>
          <w:szCs w:val="26"/>
        </w:rPr>
        <w:tab/>
        <w:t xml:space="preserve">Reliability of the Instrument  </w:t>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009F0377">
        <w:rPr>
          <w:rFonts w:asciiTheme="majorBidi" w:hAnsiTheme="majorBidi" w:cstheme="majorBidi"/>
          <w:b w:val="0"/>
          <w:bCs w:val="0"/>
          <w:szCs w:val="26"/>
        </w:rPr>
        <w:tab/>
      </w:r>
      <w:r w:rsidR="009F0377">
        <w:rPr>
          <w:rFonts w:asciiTheme="majorBidi" w:hAnsiTheme="majorBidi" w:cstheme="majorBidi"/>
          <w:b w:val="0"/>
          <w:bCs w:val="0"/>
          <w:szCs w:val="26"/>
        </w:rPr>
        <w:tab/>
      </w:r>
      <w:r w:rsidR="009F0377">
        <w:rPr>
          <w:rFonts w:asciiTheme="majorBidi" w:hAnsiTheme="majorBidi" w:cstheme="majorBidi"/>
          <w:b w:val="0"/>
          <w:bCs w:val="0"/>
          <w:szCs w:val="26"/>
        </w:rPr>
        <w:tab/>
      </w:r>
    </w:p>
    <w:p w:rsidR="00C50390" w:rsidRPr="009F0377" w:rsidRDefault="00C50390" w:rsidP="00C50390">
      <w:pPr>
        <w:pStyle w:val="Heading4"/>
        <w:spacing w:line="240" w:lineRule="auto"/>
        <w:ind w:left="0"/>
        <w:rPr>
          <w:rFonts w:asciiTheme="majorBidi" w:hAnsiTheme="majorBidi" w:cstheme="majorBidi"/>
          <w:b w:val="0"/>
          <w:bCs w:val="0"/>
          <w:szCs w:val="26"/>
        </w:rPr>
      </w:pPr>
      <w:r w:rsidRPr="009F0377">
        <w:rPr>
          <w:rFonts w:asciiTheme="majorBidi" w:hAnsiTheme="majorBidi" w:cstheme="majorBidi"/>
          <w:b w:val="0"/>
          <w:bCs w:val="0"/>
          <w:szCs w:val="26"/>
        </w:rPr>
        <w:t>3.7</w:t>
      </w:r>
      <w:r w:rsidRPr="009F0377">
        <w:rPr>
          <w:rFonts w:asciiTheme="majorBidi" w:hAnsiTheme="majorBidi" w:cstheme="majorBidi"/>
          <w:b w:val="0"/>
          <w:bCs w:val="0"/>
          <w:szCs w:val="26"/>
        </w:rPr>
        <w:tab/>
        <w:t xml:space="preserve">Administration of the Instrument   </w:t>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p>
    <w:p w:rsidR="00C50390" w:rsidRPr="009F0377" w:rsidRDefault="00C50390" w:rsidP="00C50390">
      <w:pPr>
        <w:pStyle w:val="Heading4"/>
        <w:spacing w:line="240" w:lineRule="auto"/>
        <w:ind w:left="0"/>
        <w:rPr>
          <w:rFonts w:asciiTheme="majorBidi" w:hAnsiTheme="majorBidi" w:cstheme="majorBidi"/>
          <w:b w:val="0"/>
          <w:szCs w:val="26"/>
        </w:rPr>
      </w:pPr>
      <w:r w:rsidRPr="009F0377">
        <w:rPr>
          <w:rFonts w:asciiTheme="majorBidi" w:hAnsiTheme="majorBidi" w:cstheme="majorBidi"/>
          <w:b w:val="0"/>
          <w:szCs w:val="26"/>
        </w:rPr>
        <w:t>3.8</w:t>
      </w:r>
      <w:r w:rsidRPr="009F0377">
        <w:rPr>
          <w:rFonts w:asciiTheme="majorBidi" w:hAnsiTheme="majorBidi" w:cstheme="majorBidi"/>
          <w:b w:val="0"/>
          <w:szCs w:val="26"/>
        </w:rPr>
        <w:tab/>
        <w:t>Data Analysis Techniques</w:t>
      </w:r>
      <w:r w:rsidRPr="009F0377">
        <w:rPr>
          <w:rFonts w:asciiTheme="majorBidi" w:hAnsiTheme="majorBidi" w:cstheme="majorBidi"/>
          <w:b w:val="0"/>
          <w:szCs w:val="26"/>
        </w:rPr>
        <w:tab/>
      </w:r>
      <w:r w:rsidRPr="009F0377">
        <w:rPr>
          <w:rFonts w:asciiTheme="majorBidi" w:hAnsiTheme="majorBidi" w:cstheme="majorBidi"/>
          <w:b w:val="0"/>
          <w:szCs w:val="26"/>
        </w:rPr>
        <w:tab/>
      </w:r>
      <w:r w:rsidRPr="009F0377">
        <w:rPr>
          <w:rFonts w:asciiTheme="majorBidi" w:hAnsiTheme="majorBidi" w:cstheme="majorBidi"/>
          <w:b w:val="0"/>
          <w:szCs w:val="26"/>
        </w:rPr>
        <w:tab/>
      </w:r>
      <w:r w:rsidRPr="009F0377">
        <w:rPr>
          <w:rFonts w:asciiTheme="majorBidi" w:hAnsiTheme="majorBidi" w:cstheme="majorBidi"/>
          <w:b w:val="0"/>
          <w:szCs w:val="26"/>
        </w:rPr>
        <w:tab/>
      </w:r>
      <w:r w:rsidRPr="009F0377">
        <w:rPr>
          <w:rFonts w:asciiTheme="majorBidi" w:hAnsiTheme="majorBidi" w:cstheme="majorBidi"/>
          <w:b w:val="0"/>
          <w:szCs w:val="26"/>
        </w:rPr>
        <w:tab/>
      </w:r>
      <w:r w:rsidRPr="009F0377">
        <w:rPr>
          <w:rFonts w:asciiTheme="majorBidi" w:hAnsiTheme="majorBidi" w:cstheme="majorBidi"/>
          <w:b w:val="0"/>
          <w:szCs w:val="26"/>
        </w:rPr>
        <w:tab/>
      </w:r>
    </w:p>
    <w:p w:rsidR="00C50390" w:rsidRPr="009F0377" w:rsidRDefault="00C50390" w:rsidP="00C50390">
      <w:pPr>
        <w:pStyle w:val="Heading4"/>
        <w:spacing w:line="240" w:lineRule="auto"/>
        <w:ind w:left="0"/>
        <w:rPr>
          <w:rFonts w:asciiTheme="majorBidi" w:hAnsiTheme="majorBidi" w:cstheme="majorBidi"/>
          <w:szCs w:val="26"/>
        </w:rPr>
      </w:pPr>
      <w:r w:rsidRPr="009F0377">
        <w:rPr>
          <w:rFonts w:asciiTheme="majorBidi" w:hAnsiTheme="majorBidi" w:cstheme="majorBidi"/>
          <w:sz w:val="30"/>
          <w:szCs w:val="28"/>
        </w:rPr>
        <w:t>CHAPTER FOUR:  PRESENTATION OF DATA AND DATA ANALYSIS</w:t>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4.1</w:t>
      </w:r>
      <w:r w:rsidRPr="009F0377">
        <w:rPr>
          <w:rFonts w:asciiTheme="majorBidi" w:hAnsiTheme="majorBidi" w:cstheme="majorBidi"/>
          <w:sz w:val="28"/>
          <w:szCs w:val="26"/>
        </w:rPr>
        <w:tab/>
        <w:t xml:space="preserve">Presentation of Data and Data Analysis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spacing w:line="240" w:lineRule="auto"/>
        <w:rPr>
          <w:rFonts w:asciiTheme="majorBidi" w:hAnsiTheme="majorBidi" w:cstheme="majorBidi"/>
          <w:sz w:val="28"/>
          <w:szCs w:val="26"/>
        </w:rPr>
      </w:pPr>
      <w:r w:rsidRPr="009F0377">
        <w:rPr>
          <w:rFonts w:asciiTheme="majorBidi" w:hAnsiTheme="majorBidi" w:cstheme="majorBidi"/>
          <w:sz w:val="28"/>
          <w:szCs w:val="26"/>
        </w:rPr>
        <w:t>4.2</w:t>
      </w:r>
      <w:r w:rsidRPr="009F0377">
        <w:rPr>
          <w:rFonts w:asciiTheme="majorBidi" w:hAnsiTheme="majorBidi" w:cstheme="majorBidi"/>
          <w:sz w:val="28"/>
          <w:szCs w:val="26"/>
        </w:rPr>
        <w:tab/>
        <w:t xml:space="preserve">Discussion of the Results   </w:t>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r w:rsidRPr="009F0377">
        <w:rPr>
          <w:rFonts w:asciiTheme="majorBidi" w:hAnsiTheme="majorBidi" w:cstheme="majorBidi"/>
          <w:sz w:val="28"/>
          <w:szCs w:val="26"/>
        </w:rPr>
        <w:tab/>
      </w:r>
    </w:p>
    <w:p w:rsidR="00C50390" w:rsidRPr="009F0377" w:rsidRDefault="00C50390" w:rsidP="00C50390">
      <w:pPr>
        <w:pStyle w:val="Heading4"/>
        <w:spacing w:line="240" w:lineRule="auto"/>
        <w:ind w:left="0"/>
        <w:rPr>
          <w:rFonts w:asciiTheme="majorBidi" w:hAnsiTheme="majorBidi" w:cstheme="majorBidi"/>
          <w:sz w:val="30"/>
          <w:szCs w:val="28"/>
        </w:rPr>
      </w:pPr>
      <w:r w:rsidRPr="009F0377">
        <w:rPr>
          <w:rFonts w:asciiTheme="majorBidi" w:hAnsiTheme="majorBidi" w:cstheme="majorBidi"/>
          <w:sz w:val="30"/>
          <w:szCs w:val="28"/>
        </w:rPr>
        <w:t>CHAPTER FIVE   SUMMARY, CONCLUSION AND RECOMMENDATIONS</w:t>
      </w:r>
    </w:p>
    <w:p w:rsidR="00C50390" w:rsidRPr="009F0377" w:rsidRDefault="00C50390" w:rsidP="00C50390">
      <w:pPr>
        <w:pStyle w:val="Heading4"/>
        <w:spacing w:line="240" w:lineRule="auto"/>
        <w:ind w:left="0"/>
        <w:rPr>
          <w:rFonts w:asciiTheme="majorBidi" w:hAnsiTheme="majorBidi" w:cstheme="majorBidi"/>
          <w:b w:val="0"/>
          <w:bCs w:val="0"/>
          <w:szCs w:val="26"/>
        </w:rPr>
      </w:pPr>
      <w:r w:rsidRPr="009F0377">
        <w:rPr>
          <w:rFonts w:asciiTheme="majorBidi" w:hAnsiTheme="majorBidi" w:cstheme="majorBidi"/>
          <w:b w:val="0"/>
          <w:bCs w:val="0"/>
          <w:szCs w:val="26"/>
        </w:rPr>
        <w:t>5.1</w:t>
      </w:r>
      <w:r w:rsidRPr="009F0377">
        <w:rPr>
          <w:rFonts w:asciiTheme="majorBidi" w:hAnsiTheme="majorBidi" w:cstheme="majorBidi"/>
          <w:b w:val="0"/>
          <w:bCs w:val="0"/>
          <w:szCs w:val="26"/>
        </w:rPr>
        <w:tab/>
        <w:t xml:space="preserve">Summary   </w:t>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p>
    <w:p w:rsidR="00C50390" w:rsidRPr="009F0377" w:rsidRDefault="00C50390" w:rsidP="00C50390">
      <w:pPr>
        <w:pStyle w:val="Heading4"/>
        <w:spacing w:line="240" w:lineRule="auto"/>
        <w:ind w:left="0"/>
        <w:rPr>
          <w:rFonts w:asciiTheme="majorBidi" w:hAnsiTheme="majorBidi" w:cstheme="majorBidi"/>
          <w:b w:val="0"/>
          <w:bCs w:val="0"/>
          <w:szCs w:val="26"/>
        </w:rPr>
      </w:pPr>
      <w:r w:rsidRPr="009F0377">
        <w:rPr>
          <w:rFonts w:asciiTheme="majorBidi" w:hAnsiTheme="majorBidi" w:cstheme="majorBidi"/>
          <w:b w:val="0"/>
          <w:bCs w:val="0"/>
          <w:szCs w:val="26"/>
        </w:rPr>
        <w:t>5.2</w:t>
      </w:r>
      <w:r w:rsidRPr="009F0377">
        <w:rPr>
          <w:rFonts w:asciiTheme="majorBidi" w:hAnsiTheme="majorBidi" w:cstheme="majorBidi"/>
          <w:b w:val="0"/>
          <w:bCs w:val="0"/>
          <w:szCs w:val="26"/>
        </w:rPr>
        <w:tab/>
        <w:t xml:space="preserve">Recommendations </w:t>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p>
    <w:p w:rsidR="00C50390" w:rsidRPr="009F0377" w:rsidRDefault="00C50390" w:rsidP="00C50390">
      <w:pPr>
        <w:pStyle w:val="Heading4"/>
        <w:spacing w:line="240" w:lineRule="auto"/>
        <w:ind w:left="0"/>
        <w:rPr>
          <w:rFonts w:asciiTheme="majorBidi" w:hAnsiTheme="majorBidi" w:cstheme="majorBidi"/>
          <w:b w:val="0"/>
          <w:bCs w:val="0"/>
          <w:szCs w:val="26"/>
        </w:rPr>
      </w:pPr>
      <w:r w:rsidRPr="009F0377">
        <w:rPr>
          <w:rFonts w:asciiTheme="majorBidi" w:hAnsiTheme="majorBidi" w:cstheme="majorBidi"/>
          <w:b w:val="0"/>
          <w:bCs w:val="0"/>
          <w:szCs w:val="26"/>
        </w:rPr>
        <w:t>5.3</w:t>
      </w:r>
      <w:r w:rsidRPr="009F0377">
        <w:rPr>
          <w:rFonts w:asciiTheme="majorBidi" w:hAnsiTheme="majorBidi" w:cstheme="majorBidi"/>
          <w:b w:val="0"/>
          <w:bCs w:val="0"/>
          <w:szCs w:val="26"/>
        </w:rPr>
        <w:tab/>
        <w:t xml:space="preserve">Conclusion  </w:t>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r w:rsidRPr="009F0377">
        <w:rPr>
          <w:rFonts w:asciiTheme="majorBidi" w:hAnsiTheme="majorBidi" w:cstheme="majorBidi"/>
          <w:b w:val="0"/>
          <w:bCs w:val="0"/>
          <w:szCs w:val="26"/>
        </w:rPr>
        <w:tab/>
      </w:r>
    </w:p>
    <w:p w:rsidR="00C50390" w:rsidRPr="009F0377" w:rsidRDefault="00C50390" w:rsidP="00C50390">
      <w:pPr>
        <w:pStyle w:val="Heading4"/>
        <w:spacing w:line="240" w:lineRule="auto"/>
        <w:ind w:left="0"/>
        <w:rPr>
          <w:rFonts w:asciiTheme="majorBidi" w:hAnsiTheme="majorBidi" w:cstheme="majorBidi"/>
          <w:szCs w:val="26"/>
        </w:rPr>
      </w:pPr>
      <w:r w:rsidRPr="009F0377">
        <w:rPr>
          <w:rFonts w:asciiTheme="majorBidi" w:hAnsiTheme="majorBidi" w:cstheme="majorBidi"/>
          <w:szCs w:val="26"/>
        </w:rPr>
        <w:t xml:space="preserve">References  </w:t>
      </w:r>
      <w:r w:rsidRPr="009F0377">
        <w:rPr>
          <w:rFonts w:asciiTheme="majorBidi" w:hAnsiTheme="majorBidi" w:cstheme="majorBidi"/>
          <w:szCs w:val="26"/>
        </w:rPr>
        <w:tab/>
      </w:r>
      <w:r w:rsidRPr="009F0377">
        <w:rPr>
          <w:rFonts w:asciiTheme="majorBidi" w:hAnsiTheme="majorBidi" w:cstheme="majorBidi"/>
          <w:szCs w:val="26"/>
        </w:rPr>
        <w:tab/>
      </w:r>
      <w:r w:rsidRPr="009F0377">
        <w:rPr>
          <w:rFonts w:asciiTheme="majorBidi" w:hAnsiTheme="majorBidi" w:cstheme="majorBidi"/>
          <w:szCs w:val="26"/>
        </w:rPr>
        <w:tab/>
      </w:r>
      <w:r w:rsidRPr="009F0377">
        <w:rPr>
          <w:rFonts w:asciiTheme="majorBidi" w:hAnsiTheme="majorBidi" w:cstheme="majorBidi"/>
          <w:szCs w:val="26"/>
        </w:rPr>
        <w:tab/>
      </w:r>
      <w:r w:rsidRPr="009F0377">
        <w:rPr>
          <w:rFonts w:asciiTheme="majorBidi" w:hAnsiTheme="majorBidi" w:cstheme="majorBidi"/>
          <w:szCs w:val="26"/>
        </w:rPr>
        <w:tab/>
      </w:r>
      <w:r w:rsidRPr="009F0377">
        <w:rPr>
          <w:rFonts w:asciiTheme="majorBidi" w:hAnsiTheme="majorBidi" w:cstheme="majorBidi"/>
          <w:szCs w:val="26"/>
        </w:rPr>
        <w:tab/>
      </w:r>
      <w:r w:rsidRPr="009F0377">
        <w:rPr>
          <w:rFonts w:asciiTheme="majorBidi" w:hAnsiTheme="majorBidi" w:cstheme="majorBidi"/>
          <w:szCs w:val="26"/>
        </w:rPr>
        <w:tab/>
      </w:r>
      <w:r w:rsidRPr="009F0377">
        <w:rPr>
          <w:rFonts w:asciiTheme="majorBidi" w:hAnsiTheme="majorBidi" w:cstheme="majorBidi"/>
          <w:szCs w:val="26"/>
        </w:rPr>
        <w:tab/>
      </w:r>
      <w:r w:rsidRPr="009F0377">
        <w:rPr>
          <w:rFonts w:asciiTheme="majorBidi" w:hAnsiTheme="majorBidi" w:cstheme="majorBidi"/>
          <w:szCs w:val="26"/>
        </w:rPr>
        <w:tab/>
      </w:r>
    </w:p>
    <w:p w:rsidR="00C50390" w:rsidRPr="009F0377" w:rsidRDefault="00C50390" w:rsidP="00C50390">
      <w:pPr>
        <w:spacing w:line="240" w:lineRule="auto"/>
        <w:rPr>
          <w:rFonts w:asciiTheme="majorBidi" w:hAnsiTheme="majorBidi" w:cstheme="majorBidi"/>
          <w:b/>
          <w:sz w:val="28"/>
          <w:szCs w:val="26"/>
        </w:rPr>
      </w:pPr>
      <w:r w:rsidRPr="009F0377">
        <w:rPr>
          <w:rFonts w:asciiTheme="majorBidi" w:hAnsiTheme="majorBidi" w:cstheme="majorBidi"/>
          <w:b/>
          <w:sz w:val="28"/>
          <w:szCs w:val="26"/>
        </w:rPr>
        <w:t xml:space="preserve">Appendix                  </w:t>
      </w:r>
      <w:r w:rsidRPr="009F0377">
        <w:rPr>
          <w:rFonts w:asciiTheme="majorBidi" w:hAnsiTheme="majorBidi" w:cstheme="majorBidi"/>
          <w:b/>
          <w:sz w:val="28"/>
          <w:szCs w:val="26"/>
        </w:rPr>
        <w:tab/>
      </w:r>
      <w:r w:rsidRPr="009F0377">
        <w:rPr>
          <w:rFonts w:asciiTheme="majorBidi" w:hAnsiTheme="majorBidi" w:cstheme="majorBidi"/>
          <w:b/>
          <w:sz w:val="28"/>
          <w:szCs w:val="26"/>
        </w:rPr>
        <w:tab/>
      </w:r>
      <w:r w:rsidRPr="009F0377">
        <w:rPr>
          <w:rFonts w:asciiTheme="majorBidi" w:hAnsiTheme="majorBidi" w:cstheme="majorBidi"/>
          <w:b/>
          <w:sz w:val="28"/>
          <w:szCs w:val="26"/>
        </w:rPr>
        <w:tab/>
      </w:r>
      <w:r w:rsidRPr="009F0377">
        <w:rPr>
          <w:rFonts w:asciiTheme="majorBidi" w:hAnsiTheme="majorBidi" w:cstheme="majorBidi"/>
          <w:b/>
          <w:sz w:val="28"/>
          <w:szCs w:val="26"/>
        </w:rPr>
        <w:tab/>
      </w:r>
      <w:r w:rsidRPr="009F0377">
        <w:rPr>
          <w:rFonts w:asciiTheme="majorBidi" w:hAnsiTheme="majorBidi" w:cstheme="majorBidi"/>
          <w:b/>
          <w:sz w:val="28"/>
          <w:szCs w:val="26"/>
        </w:rPr>
        <w:tab/>
      </w:r>
      <w:r w:rsidRPr="009F0377">
        <w:rPr>
          <w:rFonts w:asciiTheme="majorBidi" w:hAnsiTheme="majorBidi" w:cstheme="majorBidi"/>
          <w:b/>
          <w:sz w:val="28"/>
          <w:szCs w:val="26"/>
        </w:rPr>
        <w:tab/>
      </w:r>
      <w:r w:rsidRPr="009F0377">
        <w:rPr>
          <w:rFonts w:asciiTheme="majorBidi" w:hAnsiTheme="majorBidi" w:cstheme="majorBidi"/>
          <w:b/>
          <w:sz w:val="28"/>
          <w:szCs w:val="26"/>
        </w:rPr>
        <w:tab/>
      </w:r>
      <w:r w:rsidRPr="009F0377">
        <w:rPr>
          <w:rFonts w:asciiTheme="majorBidi" w:hAnsiTheme="majorBidi" w:cstheme="majorBidi"/>
          <w:b/>
          <w:sz w:val="28"/>
          <w:szCs w:val="26"/>
        </w:rPr>
        <w:tab/>
      </w:r>
    </w:p>
    <w:p w:rsidR="00C50390" w:rsidRPr="00961F25"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Default="00C50390" w:rsidP="00C50390">
      <w:pPr>
        <w:spacing w:line="240" w:lineRule="auto"/>
        <w:rPr>
          <w:rFonts w:asciiTheme="majorBidi" w:hAnsiTheme="majorBidi" w:cstheme="majorBidi"/>
          <w:sz w:val="26"/>
          <w:szCs w:val="26"/>
        </w:rPr>
      </w:pPr>
    </w:p>
    <w:p w:rsidR="00C50390" w:rsidRPr="009F0377" w:rsidRDefault="00C50390" w:rsidP="00C50390">
      <w:pPr>
        <w:pStyle w:val="Heading1"/>
        <w:rPr>
          <w:rFonts w:asciiTheme="majorBidi" w:hAnsiTheme="majorBidi" w:cstheme="majorBidi"/>
          <w:sz w:val="30"/>
          <w:szCs w:val="28"/>
        </w:rPr>
      </w:pPr>
      <w:r w:rsidRPr="009F0377">
        <w:rPr>
          <w:rFonts w:asciiTheme="majorBidi" w:hAnsiTheme="majorBidi" w:cstheme="majorBidi"/>
          <w:sz w:val="30"/>
          <w:szCs w:val="28"/>
        </w:rPr>
        <w:lastRenderedPageBreak/>
        <w:t>ABSTRACT</w:t>
      </w:r>
    </w:p>
    <w:p w:rsidR="0022276B" w:rsidRPr="0022276B" w:rsidRDefault="0022276B" w:rsidP="0022276B">
      <w:pPr>
        <w:spacing w:line="240" w:lineRule="auto"/>
        <w:jc w:val="both"/>
        <w:rPr>
          <w:rFonts w:asciiTheme="majorBidi" w:hAnsiTheme="majorBidi" w:cstheme="majorBidi"/>
          <w:i/>
          <w:sz w:val="28"/>
          <w:szCs w:val="26"/>
        </w:rPr>
      </w:pPr>
      <w:r w:rsidRPr="0022276B">
        <w:rPr>
          <w:rFonts w:asciiTheme="majorBidi" w:hAnsiTheme="majorBidi" w:cstheme="majorBidi"/>
          <w:i/>
          <w:sz w:val="28"/>
          <w:szCs w:val="26"/>
        </w:rPr>
        <w:t>This study examines the knowledge and availability of e-learning facilities for chemistry education in Ilorin West secondary schools. A descriptive survey design was employed, gathering data from teachers and students across multiple institutions. The research reveals a significant gap between theoretical awareness of e-learning benefits and practical implementation capabilities. While stakeholders recognize the potential of digital tools to enhance chemistry instruction, substantial barriers hinder effective adoption. Infrastructure deficiencies, including unreliable electricity and limited internet connectivity, present major challenges. Additionally, insufficient access to computers and chemistry-specific software further constrains e-learning integration.The study identifies inadequate teacher training and professional development as critical factors limiting technology adoption. Disparities between public and private schools in resource availability highlight equity concerns in digital education access. The research emphasizes the need for comprehensive strategies addressing both technological and human resource aspects of e-learning implementation. Stakeholders strongly support government intervention, teacher training programs, and blended learning approaches as potential solutions. Recommendations include targeted funding for ICT infrastructure, specialized training for chemistry educators, and development of curriculum-aligned digital content. This study contributes to understanding digital transformation in Nigerian secondary education and provides insights for improving STEM education through technology integration. The findings underscore the importance of coordinated efforts among policymakers, educators, and technology providers to enhance chemistry learning outcomes through effective e-learning adoption.</w:t>
      </w:r>
    </w:p>
    <w:p w:rsidR="00C50390" w:rsidRPr="0066593C" w:rsidRDefault="00C50390" w:rsidP="00C50390">
      <w:pPr>
        <w:spacing w:line="240" w:lineRule="auto"/>
        <w:jc w:val="both"/>
        <w:rPr>
          <w:rFonts w:asciiTheme="majorBidi" w:hAnsiTheme="majorBidi" w:cstheme="majorBidi"/>
          <w:i/>
          <w:sz w:val="26"/>
          <w:szCs w:val="26"/>
        </w:rPr>
      </w:pPr>
    </w:p>
    <w:p w:rsidR="00C50390" w:rsidRPr="00B64FB8" w:rsidRDefault="00C50390" w:rsidP="00C50390">
      <w:pPr>
        <w:spacing w:line="240" w:lineRule="auto"/>
        <w:rPr>
          <w:rFonts w:asciiTheme="majorBidi" w:hAnsiTheme="majorBidi" w:cstheme="majorBidi"/>
          <w:sz w:val="26"/>
          <w:szCs w:val="26"/>
          <w:lang w:val="en-GB"/>
        </w:rPr>
      </w:pPr>
    </w:p>
    <w:p w:rsidR="00C50390" w:rsidRDefault="00C50390" w:rsidP="00C50390">
      <w:pPr>
        <w:spacing w:line="240" w:lineRule="auto"/>
        <w:rPr>
          <w:rFonts w:asciiTheme="majorBidi" w:hAnsiTheme="majorBidi" w:cstheme="majorBidi"/>
          <w:sz w:val="26"/>
          <w:szCs w:val="26"/>
        </w:rPr>
      </w:pPr>
    </w:p>
    <w:p w:rsidR="00C50390" w:rsidRDefault="00C50390" w:rsidP="00C50390"/>
    <w:p w:rsidR="00C50390" w:rsidRDefault="00C50390" w:rsidP="00C50390"/>
    <w:p w:rsidR="00C50390" w:rsidRDefault="00C50390" w:rsidP="00C50390"/>
    <w:p w:rsidR="00C50390" w:rsidRDefault="00C50390" w:rsidP="00C50390"/>
    <w:p w:rsidR="00C50390" w:rsidRDefault="00C50390" w:rsidP="00C50390"/>
    <w:p w:rsidR="009029C1" w:rsidRDefault="009029C1"/>
    <w:p w:rsidR="008B166C" w:rsidRDefault="008B166C"/>
    <w:p w:rsidR="008B166C" w:rsidRDefault="008B166C"/>
    <w:p w:rsidR="008B166C" w:rsidRDefault="008B166C"/>
    <w:p w:rsidR="008B166C" w:rsidRDefault="008B166C"/>
    <w:p w:rsidR="008B166C" w:rsidRDefault="008B166C" w:rsidP="008B166C">
      <w:pPr>
        <w:shd w:val="clear" w:color="auto" w:fill="FFFFFF"/>
        <w:spacing w:before="100" w:beforeAutospacing="1" w:after="0" w:line="240" w:lineRule="auto"/>
        <w:jc w:val="center"/>
        <w:outlineLvl w:val="0"/>
        <w:rPr>
          <w:rFonts w:ascii="Times New Roman" w:eastAsia="Times New Roman" w:hAnsi="Times New Roman" w:cs="Times New Roman"/>
          <w:b/>
          <w:bCs/>
          <w:color w:val="404040"/>
          <w:kern w:val="36"/>
          <w:sz w:val="28"/>
          <w:szCs w:val="26"/>
        </w:rPr>
        <w:sectPr w:rsidR="008B166C" w:rsidSect="00FE22C6">
          <w:footerReference w:type="default" r:id="rId7"/>
          <w:pgSz w:w="11909" w:h="16834" w:code="9"/>
          <w:pgMar w:top="1152" w:right="1152" w:bottom="1152" w:left="1152" w:header="720" w:footer="1089" w:gutter="0"/>
          <w:pgNumType w:fmt="lowerRoman" w:start="1"/>
          <w:cols w:space="720"/>
          <w:docGrid w:linePitch="360"/>
        </w:sectPr>
      </w:pPr>
    </w:p>
    <w:p w:rsidR="008B166C" w:rsidRPr="00440B48" w:rsidRDefault="008B166C" w:rsidP="008B166C">
      <w:pPr>
        <w:shd w:val="clear" w:color="auto" w:fill="FFFFFF"/>
        <w:spacing w:before="100" w:beforeAutospacing="1" w:after="0" w:line="240" w:lineRule="auto"/>
        <w:jc w:val="center"/>
        <w:outlineLvl w:val="0"/>
        <w:rPr>
          <w:rFonts w:ascii="Times New Roman" w:eastAsia="Times New Roman" w:hAnsi="Times New Roman" w:cs="Times New Roman"/>
          <w:b/>
          <w:bCs/>
          <w:color w:val="404040"/>
          <w:kern w:val="36"/>
          <w:sz w:val="28"/>
          <w:szCs w:val="26"/>
        </w:rPr>
      </w:pPr>
      <w:r w:rsidRPr="00440B48">
        <w:rPr>
          <w:rFonts w:ascii="Times New Roman" w:eastAsia="Times New Roman" w:hAnsi="Times New Roman" w:cs="Times New Roman"/>
          <w:b/>
          <w:bCs/>
          <w:color w:val="404040"/>
          <w:kern w:val="36"/>
          <w:sz w:val="28"/>
          <w:szCs w:val="26"/>
        </w:rPr>
        <w:lastRenderedPageBreak/>
        <w:t>CHAPTER ONE</w:t>
      </w:r>
    </w:p>
    <w:p w:rsidR="008B166C" w:rsidRPr="00440B48" w:rsidRDefault="008B166C" w:rsidP="008B166C">
      <w:pPr>
        <w:shd w:val="clear" w:color="auto" w:fill="FFFFFF"/>
        <w:spacing w:before="100" w:beforeAutospacing="1" w:after="0" w:line="240" w:lineRule="auto"/>
        <w:jc w:val="center"/>
        <w:outlineLvl w:val="0"/>
        <w:rPr>
          <w:rFonts w:ascii="Times New Roman" w:eastAsia="Times New Roman" w:hAnsi="Times New Roman" w:cs="Times New Roman"/>
          <w:color w:val="404040"/>
          <w:kern w:val="36"/>
          <w:sz w:val="28"/>
          <w:szCs w:val="26"/>
        </w:rPr>
      </w:pPr>
      <w:r w:rsidRPr="00440B48">
        <w:rPr>
          <w:rFonts w:ascii="Times New Roman" w:eastAsia="Times New Roman" w:hAnsi="Times New Roman" w:cs="Times New Roman"/>
          <w:b/>
          <w:bCs/>
          <w:color w:val="404040"/>
          <w:kern w:val="36"/>
          <w:sz w:val="28"/>
          <w:szCs w:val="26"/>
        </w:rPr>
        <w:t>INTRODUCTION</w:t>
      </w: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Background to the Study</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The 21st century has witnessed unprecedented technological advancements that have revolutionized various sectors, including education. The integration of Information and Communication Technology (ICT) in education has given rise to e-learning, which refers to the use of digital tools and resources to facilitate teaching and learning processes (Dhull&amp;Sakshi, 2017). In the context of secondary education, particularly in science subjects like chemistry, e-learning presents transformative opportunities to enhance instructional delivery and improve learning outcomes (Adeoye et al., 2021). However, despite its proven benefits, the full potential of e-learning in chemistry education remains largely untapped in many secondary schools, especially in developing nations where technological infrastructure and digital literacy are still evolving (Onyema et al., 2020).</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Chemistry, as a fundamental science subject, plays a pivotal role in secondary education by providing the foundation for numerous scientific and technological disciplines (Johnstone, 2019). However, students often perceive chemistry as challenging due to its abstract concepts and the need for practical experimentation (Taber, 2020). Traditional teaching methods, which predominantly rely on lecture-based instruction and textbook learning, frequently fail to address these complexities adequately (Hwang et al., 2020). E-learning tools such as virtual laboratories, interactive simulations, and multimedia presentations offer dynamic and engaging approaches to teaching chemistry concepts, potentially bridging the gap between theoretical knowledge and practical understanding (Clark &amp; Mayer, 2016). These digital resources can provide visual representations of molecular structures, simulate chemical reactions, and offer immediate feedback, thereby enhancing students' comprehension and retention of complex concepts (Adarkwah, 2021).</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lastRenderedPageBreak/>
        <w:t>The global COVID-19 pandemic served as a catalyst for the accelerated adoption of e-learning across educational institutions worldwide (UNESCO, 2022). During this period, schools were compelled to transition to online learning platforms such as Google Classroom, Zoom, and Moodle to ensure continuity in education (Alameri et al., 2020). This sudden shift highlighted both the potential and the challenges of e-learning implementation. While some institutions successfully leveraged digital tools to maintain educational standards, others, particularly in resource-constrained settings, struggled with inadequate infrastructure, limited access to devices, and insufficient teacher training (Onyema et al., 2020). In many cases, chemistry education suffered due to the inability to conduct practical experiments, which are a cornerstone of the subject (Adesina&amp;Akinbobola, 2022). This experience underscored the urgent need for robust e-learning frameworks that can support effective chemistry instruction, even in the face of disruptions.</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In Nigeria, the state of e-learning in secondary schools presents a mixed picture. Urban schools, particularly private institutions, often have better access to digital resources and internet connectivity compared to their rural counterparts (Adeoye et al., 2021). Government initiatives such as the National Policy on Education (NPE) and the ICT in Education Policy have sought to promote digital learning, but implementation has been inconsistent due to funding constraints and logistical challenges (Federal Ministry of Education, 2019). Additionally, many chemistry teachers lack the necessary training to effectively integrate e-learning tools into their pedagogy, resulting in underutilization of available resources (Eshet-Alkalai, 2012). This disparity in access and competence raises critical questions about equity and the quality of chemistry education across different socio-economic contexts.</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The effectiveness of e-learning in chemistry education is further influenced by students' attitudes and digital literacy levels. Research indicates that while many students are enthusiastic about using digital tools for learning, others face challenges such as limited internet access, l</w:t>
      </w:r>
      <w:bookmarkStart w:id="0" w:name="_GoBack"/>
      <w:bookmarkEnd w:id="0"/>
      <w:r w:rsidRPr="00440B48">
        <w:rPr>
          <w:rFonts w:ascii="Times New Roman" w:eastAsia="Times New Roman" w:hAnsi="Times New Roman" w:cs="Times New Roman"/>
          <w:color w:val="404040"/>
          <w:sz w:val="28"/>
          <w:szCs w:val="26"/>
        </w:rPr>
        <w:t xml:space="preserve">ack of personal devices, and insufficient technical </w:t>
      </w:r>
      <w:r w:rsidRPr="00440B48">
        <w:rPr>
          <w:rFonts w:ascii="Times New Roman" w:eastAsia="Times New Roman" w:hAnsi="Times New Roman" w:cs="Times New Roman"/>
          <w:color w:val="404040"/>
          <w:sz w:val="28"/>
          <w:szCs w:val="26"/>
        </w:rPr>
        <w:lastRenderedPageBreak/>
        <w:t>skills (Hwang et al., 2020). Furthermore, the success of e-learning initiatives depends on the availability of localized and contextually relevant digital content. Many e-learning platforms offer generic resources that may not align with national curricula or address the specific needs of chemistry students in different regions (Adarkwah, 2021). This gap highlights the need for tailored e-learning solutions that are both accessible and pedagogically sound.</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Given these complexities, this study seeks to examine the knowledge and availability of e-learning facilities for effective teaching and learning of chemistry in secondary schools. By assessing the current state of e-learning adoption, identifying barriers, and exploring potential solutions, this research aims to contribute to the development of sustainable strategies for integrating digital technologies into chemistry education. The findings will be particularly valuable for educators, policymakers, and curriculum developers seeking to enhance the quality and accessibility of chemistry instruction through e-learning (UNESCO, 2022). Ultimately, this study aligns with global efforts to leverage technology for educational advancement, ensuring that students are equipped with the knowledge and skills needed to thrive in an increasingly digital world.</w:t>
      </w: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Statement of the Problem</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 xml:space="preserve">The integration of e-learning facilities in secondary school chemistry education presents a critical challenge in contemporary educational systems, particularly in developing nations. Despite the proven effectiveness of digital tools in enhancing science education (Adeoye et al., 2021), many secondary schools continue to grapple with inadequate access to basic e-learning infrastructure. Recent studies reveal that less than 40% of public secondary schools in Nigeria have functional computer laboratories, and fewer than 25% possess chemistry-specific e-learning resources (Adesina&amp;Akinbobola, 2022). This technological deficit creates a significant gap between the potential benefits of e-learning and the actual classroom experiences of </w:t>
      </w:r>
      <w:r w:rsidRPr="00440B48">
        <w:rPr>
          <w:rFonts w:ascii="Times New Roman" w:eastAsia="Times New Roman" w:hAnsi="Times New Roman" w:cs="Times New Roman"/>
          <w:color w:val="404040"/>
          <w:sz w:val="28"/>
          <w:szCs w:val="26"/>
        </w:rPr>
        <w:lastRenderedPageBreak/>
        <w:t>chemistry students, potentially hindering their understanding of complex chemical concepts and practical applications.</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The problem extends beyond mere physical availability to encompass critical knowledge gaps among educators. Research indicates that approximately 65% of chemistry teachers in secondary schools lack adequate training in utilizing e-learning platforms effectively (Onyema et al., 2020). This skills deficiency manifests in poor integration of available digital resources into lesson delivery, with many teachers resorting to traditional chalk-and-talk methods even when e-learning tools are accessible (Johnstone, 2019). The situation is further compounded by the abstract nature of chemistry concepts, which particularly require interactive digital simulations for effective knowledge transfer (Taber, 2020). Without proper teacher capacity building, schools risk having expensive e-learning facilities that remain underutilized or completely dormant.</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Student-related challenges present another dimension to this problem. While the digital native generation shows enthusiasm for technology-enhanced learning (Hwang et al., 2020), significant disparities exist in students' access to devices and internet connectivity. A 2022 UNICEF report revealed that only 32% of secondary school students in rural areas have regular access to internet-enabled devices for learning purposes, compared to 68% in urban centers. This digital divide creates unequal learning opportunities, particularly for chemistry education where consistent access to e-learning resources could dramatically improve comprehension of molecular structures and reaction mechanisms (Clark &amp; Mayer, 2016). The pandemic-era shift to online learning further exposed these inequalities, with many chemistry students from low-income families completely excluded from virtual classes (UNESCO, 2022).</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 xml:space="preserve">The culmination of these challenges raises serious concerns about the quality and equity of chemistry education in secondary schools. While global trends emphasize STEM education as crucial for national development (Federal Ministry of Education, </w:t>
      </w:r>
      <w:r w:rsidRPr="00440B48">
        <w:rPr>
          <w:rFonts w:ascii="Times New Roman" w:eastAsia="Times New Roman" w:hAnsi="Times New Roman" w:cs="Times New Roman"/>
          <w:color w:val="404040"/>
          <w:sz w:val="28"/>
          <w:szCs w:val="26"/>
        </w:rPr>
        <w:lastRenderedPageBreak/>
        <w:t>2019), the current state of e-learning infrastructure and utilization in chemistry classrooms suggests systemic failures in educational technology implementation. This study therefore seeks to investigate the knowledge and availability of e-learning facilities for chemistry education, with particular focus on identifying the specific gaps in infrastructure, teacher preparedness, and student access. The findings will provide empirical evidence to guide policymakers and school administrators in developing targeted interventions for effective e-learning integration in chemistry instruction.</w:t>
      </w: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Objectives of the Study</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The primary objectives of this study are:</w:t>
      </w:r>
    </w:p>
    <w:p w:rsidR="008B166C" w:rsidRPr="00440B48" w:rsidRDefault="008B166C" w:rsidP="008B166C">
      <w:pPr>
        <w:pStyle w:val="ListParagraph"/>
        <w:numPr>
          <w:ilvl w:val="0"/>
          <w:numId w:val="4"/>
        </w:num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To assess the level of awareness and knowledge of e-learning facilities among chemistry teachers and students in secondary schools.</w:t>
      </w:r>
    </w:p>
    <w:p w:rsidR="008B166C" w:rsidRPr="00440B48" w:rsidRDefault="008B166C" w:rsidP="008B166C">
      <w:pPr>
        <w:pStyle w:val="ListParagraph"/>
        <w:numPr>
          <w:ilvl w:val="0"/>
          <w:numId w:val="4"/>
        </w:num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To examine the availability and accessibility of e-learning tools for teaching and learning chemistry.</w:t>
      </w:r>
    </w:p>
    <w:p w:rsidR="008B166C" w:rsidRPr="00440B48" w:rsidRDefault="008B166C" w:rsidP="008B166C">
      <w:pPr>
        <w:pStyle w:val="ListParagraph"/>
        <w:numPr>
          <w:ilvl w:val="0"/>
          <w:numId w:val="4"/>
        </w:num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To identify the challenges hindering the effective implementation of e-learning in chemistry education.</w:t>
      </w:r>
    </w:p>
    <w:p w:rsidR="008B166C" w:rsidRPr="00440B48" w:rsidRDefault="008B166C" w:rsidP="008B166C">
      <w:pPr>
        <w:pStyle w:val="ListParagraph"/>
        <w:numPr>
          <w:ilvl w:val="0"/>
          <w:numId w:val="4"/>
        </w:num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To suggest strategies for improving the adoption of e-learning in chemistry instruction.</w:t>
      </w: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Research Questions</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To achieve the objectives of this study, the following research questions will guide the investigation:</w:t>
      </w:r>
    </w:p>
    <w:p w:rsidR="008B166C" w:rsidRPr="00440B48" w:rsidRDefault="008B166C" w:rsidP="008B166C">
      <w:pPr>
        <w:pStyle w:val="ListParagraph"/>
        <w:numPr>
          <w:ilvl w:val="0"/>
          <w:numId w:val="5"/>
        </w:num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What is the level of knowledge and awareness of e-learning facilities among chemistry teachers and students?</w:t>
      </w:r>
    </w:p>
    <w:p w:rsidR="008B166C" w:rsidRPr="00440B48" w:rsidRDefault="008B166C" w:rsidP="008B166C">
      <w:pPr>
        <w:pStyle w:val="ListParagraph"/>
        <w:numPr>
          <w:ilvl w:val="0"/>
          <w:numId w:val="5"/>
        </w:num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How available and accessible are e-learning tools for teaching and learning chemistry in secondary schools?</w:t>
      </w:r>
    </w:p>
    <w:p w:rsidR="008B166C" w:rsidRPr="00440B48" w:rsidRDefault="008B166C" w:rsidP="008B166C">
      <w:pPr>
        <w:pStyle w:val="ListParagraph"/>
        <w:numPr>
          <w:ilvl w:val="0"/>
          <w:numId w:val="5"/>
        </w:num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lastRenderedPageBreak/>
        <w:t>What are the major challenges affecting the use of e-learning in chemistry education?</w:t>
      </w:r>
    </w:p>
    <w:p w:rsidR="008B166C" w:rsidRPr="00440B48" w:rsidRDefault="008B166C" w:rsidP="008B166C">
      <w:pPr>
        <w:pStyle w:val="ListParagraph"/>
        <w:numPr>
          <w:ilvl w:val="0"/>
          <w:numId w:val="5"/>
        </w:num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What strategies can be implemented to enhance the adoption of e-learning in chemistry instruction?</w:t>
      </w: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Significance of the Study</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This study holds substantial importance for multiple stakeholders in the educational sector, particularly in the context of advancing chemistry education through technological integration. First, the findings will provide critical insights for </w:t>
      </w:r>
      <w:r w:rsidRPr="00440B48">
        <w:rPr>
          <w:rFonts w:ascii="Times New Roman" w:eastAsia="Times New Roman" w:hAnsi="Times New Roman" w:cs="Times New Roman"/>
          <w:b/>
          <w:bCs/>
          <w:color w:val="404040"/>
          <w:sz w:val="28"/>
          <w:szCs w:val="26"/>
        </w:rPr>
        <w:t>educational policymakers</w:t>
      </w:r>
      <w:r w:rsidRPr="00440B48">
        <w:rPr>
          <w:rFonts w:ascii="Times New Roman" w:eastAsia="Times New Roman" w:hAnsi="Times New Roman" w:cs="Times New Roman"/>
          <w:color w:val="404040"/>
          <w:sz w:val="28"/>
          <w:szCs w:val="26"/>
        </w:rPr>
        <w:t> and </w:t>
      </w:r>
      <w:r w:rsidRPr="00440B48">
        <w:rPr>
          <w:rFonts w:ascii="Times New Roman" w:eastAsia="Times New Roman" w:hAnsi="Times New Roman" w:cs="Times New Roman"/>
          <w:b/>
          <w:bCs/>
          <w:color w:val="404040"/>
          <w:sz w:val="28"/>
          <w:szCs w:val="26"/>
        </w:rPr>
        <w:t>school administrators</w:t>
      </w:r>
      <w:r w:rsidRPr="00440B48">
        <w:rPr>
          <w:rFonts w:ascii="Times New Roman" w:eastAsia="Times New Roman" w:hAnsi="Times New Roman" w:cs="Times New Roman"/>
          <w:color w:val="404040"/>
          <w:sz w:val="28"/>
          <w:szCs w:val="26"/>
        </w:rPr>
        <w:t> by identifying the current gaps in e-learning infrastructure and implementation strategies. Recent reports from UNESCO (2022) emphasize that targeted investments in digital learning tools can improve STEM education outcomes by up to 40%, particularly in developing nations. By mapping the availability and utilization patterns of e-learning resources in chemistry classrooms, this research will offer evidence-based recommendations for resource allocation, potentially guiding national policies on ICT integration in science education (Federal Ministry of Education, 2019). The study's empirical data could also support advocacy for increased funding towards digital laboratories and teacher training programs, addressing the persistent technological disparities between urban and rural schools (Adesina&amp;Akinbobola, 2022).</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For </w:t>
      </w:r>
      <w:r w:rsidRPr="00440B48">
        <w:rPr>
          <w:rFonts w:ascii="Times New Roman" w:eastAsia="Times New Roman" w:hAnsi="Times New Roman" w:cs="Times New Roman"/>
          <w:b/>
          <w:bCs/>
          <w:color w:val="404040"/>
          <w:sz w:val="28"/>
          <w:szCs w:val="26"/>
        </w:rPr>
        <w:t>chemistry teachers</w:t>
      </w:r>
      <w:r w:rsidRPr="00440B48">
        <w:rPr>
          <w:rFonts w:ascii="Times New Roman" w:eastAsia="Times New Roman" w:hAnsi="Times New Roman" w:cs="Times New Roman"/>
          <w:color w:val="404040"/>
          <w:sz w:val="28"/>
          <w:szCs w:val="26"/>
        </w:rPr>
        <w:t xml:space="preserve">, this research is significant as it highlights both the existing challenges and potential solutions for effective e-learning adoption. Studies show that when properly implemented, digital tools like virtual labs and interactive simulations can reduce students' cognitive load in understanding abstract chemistry concepts by providing visual and hands-on learning experiences (Clark &amp; Mayer, 2016). However, as Onyema et al. (2020) found, many educators lack the training to maximize these technologies. This study will contribute to professional development initiatives by identifying specific competency gaps among teachers and proposing tailored training modules. Such interventions could enhance pedagogical practices, </w:t>
      </w:r>
      <w:r w:rsidRPr="00440B48">
        <w:rPr>
          <w:rFonts w:ascii="Times New Roman" w:eastAsia="Times New Roman" w:hAnsi="Times New Roman" w:cs="Times New Roman"/>
          <w:color w:val="404040"/>
          <w:sz w:val="28"/>
          <w:szCs w:val="26"/>
        </w:rPr>
        <w:lastRenderedPageBreak/>
        <w:t>making chemistry instruction more engaging and effective. Furthermore, by documenting successful case studies of e-learning integration, the research may serve as a practical guide for teachers seeking to innovate their classroom methodologies (Hwang et al., 2020).</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Lastly, the study bears significant implications for </w:t>
      </w:r>
      <w:r w:rsidRPr="00440B48">
        <w:rPr>
          <w:rFonts w:ascii="Times New Roman" w:eastAsia="Times New Roman" w:hAnsi="Times New Roman" w:cs="Times New Roman"/>
          <w:b/>
          <w:bCs/>
          <w:color w:val="404040"/>
          <w:sz w:val="28"/>
          <w:szCs w:val="26"/>
        </w:rPr>
        <w:t>students</w:t>
      </w:r>
      <w:r w:rsidRPr="00440B48">
        <w:rPr>
          <w:rFonts w:ascii="Times New Roman" w:eastAsia="Times New Roman" w:hAnsi="Times New Roman" w:cs="Times New Roman"/>
          <w:color w:val="404040"/>
          <w:sz w:val="28"/>
          <w:szCs w:val="26"/>
        </w:rPr>
        <w:t> and the broader </w:t>
      </w:r>
      <w:r w:rsidRPr="00440B48">
        <w:rPr>
          <w:rFonts w:ascii="Times New Roman" w:eastAsia="Times New Roman" w:hAnsi="Times New Roman" w:cs="Times New Roman"/>
          <w:b/>
          <w:bCs/>
          <w:color w:val="404040"/>
          <w:sz w:val="28"/>
          <w:szCs w:val="26"/>
        </w:rPr>
        <w:t>academic community</w:t>
      </w:r>
      <w:r w:rsidRPr="00440B48">
        <w:rPr>
          <w:rFonts w:ascii="Times New Roman" w:eastAsia="Times New Roman" w:hAnsi="Times New Roman" w:cs="Times New Roman"/>
          <w:color w:val="404040"/>
          <w:sz w:val="28"/>
          <w:szCs w:val="26"/>
        </w:rPr>
        <w:t>. In an era where digital literacy is paramount for career success, understanding how e-learning facilities impact chemistry education can help bridge the gap between secondary schooling and higher education or STEM-related professions (Adeoye et al., 2021). The research may also inspire curriculum developers to create more localized and interactive digital content that aligns with students' learning needs. Additionally, by highlighting students' access challenges and preferences regarding e-learning tools, the findings could inform the design of more inclusive and user-friendly platforms. Ultimately, this study contributes to the global discourse on educational technology by providing a contextualized perspective from secondary chemistry education, potentially influencing similar research in other science disciplines (Taber, 2020). Its recommendations could serve as a blueprint for transforming chemistry education through strategic technology integration, benefiting future generations of learners.</w:t>
      </w:r>
    </w:p>
    <w:p w:rsidR="008B166C" w:rsidRDefault="008B166C" w:rsidP="008B166C">
      <w:pPr>
        <w:shd w:val="clear" w:color="auto" w:fill="FFFFFF"/>
        <w:spacing w:before="274" w:after="206" w:line="360" w:lineRule="auto"/>
        <w:jc w:val="both"/>
        <w:outlineLvl w:val="1"/>
        <w:rPr>
          <w:rFonts w:ascii="Times New Roman" w:eastAsia="Times New Roman" w:hAnsi="Times New Roman" w:cs="Times New Roman"/>
          <w:b/>
          <w:bCs/>
          <w:color w:val="404040"/>
          <w:sz w:val="28"/>
          <w:szCs w:val="26"/>
        </w:rPr>
      </w:pP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Scope of the Study</w:t>
      </w:r>
    </w:p>
    <w:p w:rsidR="008B166C" w:rsidRPr="00440B48" w:rsidRDefault="008B166C" w:rsidP="008B166C">
      <w:pPr>
        <w:shd w:val="clear" w:color="auto" w:fill="FFFFFF"/>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This study focuses on secondary schools, specifically examining the knowledge and availability of e-learning facilities for chemistry education. The research will be limited to selected schools within a specific region, considering factors such as internet accessibility, availability of digital devices, and teacher preparedness in using e-learning tools.</w:t>
      </w: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Definition of Key Terms</w:t>
      </w: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lastRenderedPageBreak/>
        <w:t>E-learning:</w:t>
      </w:r>
      <w:r w:rsidRPr="00440B48">
        <w:rPr>
          <w:rFonts w:ascii="Times New Roman" w:eastAsia="Times New Roman" w:hAnsi="Times New Roman" w:cs="Times New Roman"/>
          <w:color w:val="404040"/>
          <w:sz w:val="28"/>
          <w:szCs w:val="26"/>
        </w:rPr>
        <w:t> The use of electronic technologies to deliver educational content and facilitate learning (Clark &amp; Mayer, 2016).</w:t>
      </w: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Chemistry Education:</w:t>
      </w:r>
      <w:r w:rsidRPr="00440B48">
        <w:rPr>
          <w:rFonts w:ascii="Times New Roman" w:eastAsia="Times New Roman" w:hAnsi="Times New Roman" w:cs="Times New Roman"/>
          <w:color w:val="404040"/>
          <w:sz w:val="28"/>
          <w:szCs w:val="26"/>
        </w:rPr>
        <w:t> The teaching and learning of chemistry concepts, theories, and practical applications in an academic setting (Taber, 2020).</w:t>
      </w:r>
    </w:p>
    <w:p w:rsidR="008B166C" w:rsidRPr="00440B48" w:rsidRDefault="008B166C" w:rsidP="008B166C">
      <w:pPr>
        <w:shd w:val="clear" w:color="auto" w:fill="FFFFFF"/>
        <w:spacing w:before="274" w:after="206" w:line="360" w:lineRule="auto"/>
        <w:jc w:val="both"/>
        <w:outlineLvl w:val="1"/>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Digital Literacy:</w:t>
      </w:r>
      <w:r w:rsidRPr="00440B48">
        <w:rPr>
          <w:rFonts w:ascii="Times New Roman" w:eastAsia="Times New Roman" w:hAnsi="Times New Roman" w:cs="Times New Roman"/>
          <w:color w:val="404040"/>
          <w:sz w:val="28"/>
          <w:szCs w:val="26"/>
        </w:rPr>
        <w:t> The ability to effectively use digital tools and resources for learning and communication (Eshet-Alkalai, 2012).</w:t>
      </w: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center"/>
        <w:rPr>
          <w:rFonts w:ascii="Times New Roman" w:hAnsi="Times New Roman" w:cs="Times New Roman"/>
          <w:b/>
          <w:bCs/>
          <w:sz w:val="28"/>
          <w:szCs w:val="26"/>
        </w:rPr>
      </w:pPr>
      <w:r w:rsidRPr="00440B48">
        <w:rPr>
          <w:rFonts w:ascii="Times New Roman" w:hAnsi="Times New Roman" w:cs="Times New Roman"/>
          <w:b/>
          <w:bCs/>
          <w:sz w:val="28"/>
          <w:szCs w:val="26"/>
        </w:rPr>
        <w:t>CHAPTER TWO</w:t>
      </w:r>
    </w:p>
    <w:p w:rsidR="008B166C" w:rsidRPr="00440B48" w:rsidRDefault="008B166C" w:rsidP="008B166C">
      <w:pPr>
        <w:spacing w:line="360" w:lineRule="auto"/>
        <w:jc w:val="center"/>
        <w:rPr>
          <w:rFonts w:ascii="Times New Roman" w:hAnsi="Times New Roman" w:cs="Times New Roman"/>
          <w:sz w:val="28"/>
          <w:szCs w:val="26"/>
        </w:rPr>
      </w:pPr>
      <w:r w:rsidRPr="00440B48">
        <w:rPr>
          <w:rFonts w:ascii="Times New Roman" w:hAnsi="Times New Roman" w:cs="Times New Roman"/>
          <w:b/>
          <w:bCs/>
          <w:sz w:val="28"/>
          <w:szCs w:val="26"/>
        </w:rPr>
        <w:t>LITERATURE REVIEW</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Introduction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The rapid evolution of digital technologies has fundamentally transformed educational paradigms, particularly in science education where visualization and interactivity play crucial roles in knowledge acquisition. This chapter presents a comprehensive review of existing scholarship on e-learning integration in secondary </w:t>
      </w:r>
      <w:r w:rsidRPr="00440B48">
        <w:rPr>
          <w:rFonts w:ascii="Times New Roman" w:hAnsi="Times New Roman" w:cs="Times New Roman"/>
          <w:sz w:val="28"/>
          <w:szCs w:val="26"/>
        </w:rPr>
        <w:lastRenderedPageBreak/>
        <w:t xml:space="preserve">school chemistry education, focusing specifically on the knowledge and availability of digital learning facilities. </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The literature review is organized into five thematic sections that systematically examine: </w:t>
      </w:r>
    </w:p>
    <w:p w:rsidR="008B166C" w:rsidRPr="00440B48" w:rsidRDefault="008B166C" w:rsidP="008B166C">
      <w:pPr>
        <w:pStyle w:val="ListParagraph"/>
        <w:numPr>
          <w:ilvl w:val="0"/>
          <w:numId w:val="2"/>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Conceptual Framework of E-Learning in Chemistry Education</w:t>
      </w:r>
    </w:p>
    <w:p w:rsidR="008B166C" w:rsidRPr="00440B48" w:rsidRDefault="008B166C" w:rsidP="008B166C">
      <w:pPr>
        <w:pStyle w:val="ListParagraph"/>
        <w:numPr>
          <w:ilvl w:val="0"/>
          <w:numId w:val="2"/>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Global and Regional Availability of Chemistry E-Learning Resources</w:t>
      </w:r>
    </w:p>
    <w:p w:rsidR="008B166C" w:rsidRPr="00440B48" w:rsidRDefault="008B166C" w:rsidP="008B166C">
      <w:pPr>
        <w:pStyle w:val="ListParagraph"/>
        <w:numPr>
          <w:ilvl w:val="0"/>
          <w:numId w:val="2"/>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Teacher Digital Competencies and Professional Development Needs</w:t>
      </w:r>
    </w:p>
    <w:p w:rsidR="008B166C" w:rsidRPr="00440B48" w:rsidRDefault="008B166C" w:rsidP="008B166C">
      <w:pPr>
        <w:pStyle w:val="ListParagraph"/>
        <w:numPr>
          <w:ilvl w:val="0"/>
          <w:numId w:val="2"/>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Student Engagement and Learning Outcomes with E-Learning Tools</w:t>
      </w:r>
    </w:p>
    <w:p w:rsidR="008B166C" w:rsidRPr="00440B48" w:rsidRDefault="008B166C" w:rsidP="008B166C">
      <w:pPr>
        <w:pStyle w:val="ListParagraph"/>
        <w:numPr>
          <w:ilvl w:val="0"/>
          <w:numId w:val="2"/>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Systemic Challenges and Barriers to Implementation</w:t>
      </w:r>
    </w:p>
    <w:p w:rsidR="008B166C" w:rsidRPr="00440B48" w:rsidRDefault="008B166C" w:rsidP="008B166C">
      <w:pPr>
        <w:pStyle w:val="ListParagraph"/>
        <w:numPr>
          <w:ilvl w:val="0"/>
          <w:numId w:val="2"/>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Emerging Best Practices and Implementation Strategies</w:t>
      </w:r>
    </w:p>
    <w:p w:rsidR="008B166C" w:rsidRPr="00440B48" w:rsidRDefault="008B166C" w:rsidP="008B166C">
      <w:pPr>
        <w:pStyle w:val="ListParagraph"/>
        <w:numPr>
          <w:ilvl w:val="0"/>
          <w:numId w:val="2"/>
        </w:numPr>
        <w:spacing w:after="200" w:line="360" w:lineRule="auto"/>
        <w:jc w:val="both"/>
        <w:rPr>
          <w:rFonts w:ascii="Times New Roman" w:hAnsi="Times New Roman" w:cs="Times New Roman"/>
          <w:sz w:val="28"/>
          <w:szCs w:val="26"/>
        </w:rPr>
      </w:pPr>
      <w:r w:rsidRPr="00440B48">
        <w:rPr>
          <w:rFonts w:ascii="Times New Roman" w:hAnsi="Times New Roman" w:cs="Times New Roman"/>
          <w:sz w:val="28"/>
          <w:szCs w:val="26"/>
        </w:rPr>
        <w:t>Summary of Literature Review</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CONCEPTUAL FRAMEWORK OF E-LEARNING IN CHEMISTRY EDUCATION</w:t>
      </w:r>
    </w:p>
    <w:p w:rsidR="008B166C" w:rsidRPr="00440B48" w:rsidRDefault="008B166C" w:rsidP="008B166C">
      <w:pPr>
        <w:spacing w:line="360" w:lineRule="auto"/>
        <w:jc w:val="both"/>
        <w:rPr>
          <w:rFonts w:ascii="Times New Roman" w:hAnsi="Times New Roman" w:cs="Times New Roman"/>
          <w:i/>
          <w:sz w:val="28"/>
          <w:szCs w:val="26"/>
        </w:rPr>
      </w:pPr>
      <w:r w:rsidRPr="00440B48">
        <w:rPr>
          <w:rFonts w:ascii="Times New Roman" w:hAnsi="Times New Roman" w:cs="Times New Roman"/>
          <w:b/>
          <w:bCs/>
          <w:i/>
          <w:sz w:val="28"/>
          <w:szCs w:val="26"/>
        </w:rPr>
        <w:t>Theoretical Foundations of E-Learning in Chemistry</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conceptual framework for e-learning in chemistry education is anchored in constructivist learning theories, which posit that knowledge is actively constructed by learners through meaningful interactions with their environment (Vygotsky, 1978). In chemistry education, this principle is particularly relevant because the subject involves abstract concepts—such as atomic structures, chemical bonding, and reaction mechanisms—that often require visualization and hands-on experimentation for deeper understanding (Johnstone, 2019). E-learning tools, including </w:t>
      </w:r>
      <w:r w:rsidRPr="00440B48">
        <w:rPr>
          <w:rFonts w:ascii="Times New Roman" w:hAnsi="Times New Roman" w:cs="Times New Roman"/>
          <w:b/>
          <w:bCs/>
          <w:sz w:val="28"/>
          <w:szCs w:val="26"/>
        </w:rPr>
        <w:t>virtual laboratories, 3D molecular simulations, and interactive multimedia modules</w:t>
      </w:r>
      <w:r w:rsidRPr="00440B48">
        <w:rPr>
          <w:rFonts w:ascii="Times New Roman" w:hAnsi="Times New Roman" w:cs="Times New Roman"/>
          <w:sz w:val="28"/>
          <w:szCs w:val="26"/>
        </w:rPr>
        <w:t>, align with constructivist pedagogy by allowing students to manipulate variables, observe real-time reactions, and engage in inquiry-based learning (Taber, 2020). Research indicates that when students use digital simulations to explore chemical phenomena, their conceptual grasp improves by up to </w:t>
      </w:r>
      <w:r w:rsidRPr="00440B48">
        <w:rPr>
          <w:rFonts w:ascii="Times New Roman" w:hAnsi="Times New Roman" w:cs="Times New Roman"/>
          <w:b/>
          <w:bCs/>
          <w:sz w:val="28"/>
          <w:szCs w:val="26"/>
        </w:rPr>
        <w:t>40% compared to traditional lecture-based methods</w:t>
      </w:r>
      <w:r w:rsidRPr="00440B48">
        <w:rPr>
          <w:rFonts w:ascii="Times New Roman" w:hAnsi="Times New Roman" w:cs="Times New Roman"/>
          <w:sz w:val="28"/>
          <w:szCs w:val="26"/>
        </w:rPr>
        <w:t> (Adeoye et al., 2021).</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lastRenderedPageBreak/>
        <w:t>The </w:t>
      </w:r>
      <w:r w:rsidRPr="00440B48">
        <w:rPr>
          <w:rFonts w:ascii="Times New Roman" w:hAnsi="Times New Roman" w:cs="Times New Roman"/>
          <w:b/>
          <w:bCs/>
          <w:sz w:val="28"/>
          <w:szCs w:val="26"/>
        </w:rPr>
        <w:t>Technological Pedagogical Content Knowledge (TPACK) framework</w:t>
      </w:r>
      <w:r w:rsidRPr="00440B48">
        <w:rPr>
          <w:rFonts w:ascii="Times New Roman" w:hAnsi="Times New Roman" w:cs="Times New Roman"/>
          <w:sz w:val="28"/>
          <w:szCs w:val="26"/>
        </w:rPr>
        <w:t> (Mishra &amp; Koehler, 2006) further enhances this conceptual model by emphasizing the intersection of three critical domains: </w:t>
      </w:r>
      <w:r w:rsidRPr="00440B48">
        <w:rPr>
          <w:rFonts w:ascii="Times New Roman" w:hAnsi="Times New Roman" w:cs="Times New Roman"/>
          <w:b/>
          <w:bCs/>
          <w:sz w:val="28"/>
          <w:szCs w:val="26"/>
        </w:rPr>
        <w:t>technological knowledge (TK), pedagogical knowledge (PK), and content knowledge (CK)</w:t>
      </w:r>
      <w:r w:rsidRPr="00440B48">
        <w:rPr>
          <w:rFonts w:ascii="Times New Roman" w:hAnsi="Times New Roman" w:cs="Times New Roman"/>
          <w:sz w:val="28"/>
          <w:szCs w:val="26"/>
        </w:rPr>
        <w:t>. For chemistry teachers, TPACK provides a roadmap for effectively integrating e-learning tools into their instructional strategies. For instance, a teacher using a </w:t>
      </w:r>
      <w:r w:rsidRPr="00440B48">
        <w:rPr>
          <w:rFonts w:ascii="Times New Roman" w:hAnsi="Times New Roman" w:cs="Times New Roman"/>
          <w:b/>
          <w:bCs/>
          <w:sz w:val="28"/>
          <w:szCs w:val="26"/>
        </w:rPr>
        <w:t>virtual titration lab</w:t>
      </w:r>
      <w:r w:rsidRPr="00440B48">
        <w:rPr>
          <w:rFonts w:ascii="Times New Roman" w:hAnsi="Times New Roman" w:cs="Times New Roman"/>
          <w:sz w:val="28"/>
          <w:szCs w:val="26"/>
        </w:rPr>
        <w:t> must not only understand the chemistry behind acid-base reactions (CK) but also know how to facilitate student-led exploration (PK) and operate the simulation software (TK) (Clark &amp; Mayer, 2016). Studies show that teachers with strong TPACK competencies achieve </w:t>
      </w:r>
      <w:r w:rsidRPr="00440B48">
        <w:rPr>
          <w:rFonts w:ascii="Times New Roman" w:hAnsi="Times New Roman" w:cs="Times New Roman"/>
          <w:b/>
          <w:bCs/>
          <w:sz w:val="28"/>
          <w:szCs w:val="26"/>
        </w:rPr>
        <w:t>28% higher student engagement and learning outcomes</w:t>
      </w:r>
      <w:r w:rsidRPr="00440B48">
        <w:rPr>
          <w:rFonts w:ascii="Times New Roman" w:hAnsi="Times New Roman" w:cs="Times New Roman"/>
          <w:sz w:val="28"/>
          <w:szCs w:val="26"/>
        </w:rPr>
        <w:t> in chemistry compared to those who rely solely on traditional methods (Hwang et al., 2020).</w:t>
      </w:r>
    </w:p>
    <w:p w:rsidR="008B166C" w:rsidRPr="00440B48" w:rsidRDefault="008B166C" w:rsidP="008B166C">
      <w:pPr>
        <w:spacing w:line="360" w:lineRule="auto"/>
        <w:jc w:val="both"/>
        <w:rPr>
          <w:rFonts w:ascii="Times New Roman" w:hAnsi="Times New Roman" w:cs="Times New Roman"/>
          <w:i/>
          <w:sz w:val="28"/>
          <w:szCs w:val="26"/>
        </w:rPr>
      </w:pPr>
      <w:r w:rsidRPr="00440B48">
        <w:rPr>
          <w:rFonts w:ascii="Times New Roman" w:hAnsi="Times New Roman" w:cs="Times New Roman"/>
          <w:b/>
          <w:bCs/>
          <w:i/>
          <w:sz w:val="28"/>
          <w:szCs w:val="26"/>
        </w:rPr>
        <w:t>Cognitive Load Theory and Multimedia Learning in Chemistry</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Another critical component of the conceptual framework is </w:t>
      </w:r>
      <w:r w:rsidRPr="00440B48">
        <w:rPr>
          <w:rFonts w:ascii="Times New Roman" w:hAnsi="Times New Roman" w:cs="Times New Roman"/>
          <w:b/>
          <w:bCs/>
          <w:sz w:val="28"/>
          <w:szCs w:val="26"/>
        </w:rPr>
        <w:t>Cognitive Load Theory (CLT)</w:t>
      </w:r>
      <w:r w:rsidRPr="00440B48">
        <w:rPr>
          <w:rFonts w:ascii="Times New Roman" w:hAnsi="Times New Roman" w:cs="Times New Roman"/>
          <w:sz w:val="28"/>
          <w:szCs w:val="26"/>
        </w:rPr>
        <w:t>, which explains how learners process information in working memory (Sweller, 2011). Chemistry, with its complex formulas and multi-step problem-solving, often overwhelms students' cognitive capacity when taught through conventional means (Johnstone, 2019). E-learning mitigates this challenge by employing </w:t>
      </w:r>
      <w:r w:rsidRPr="00440B48">
        <w:rPr>
          <w:rFonts w:ascii="Times New Roman" w:hAnsi="Times New Roman" w:cs="Times New Roman"/>
          <w:b/>
          <w:bCs/>
          <w:sz w:val="28"/>
          <w:szCs w:val="26"/>
        </w:rPr>
        <w:t>multimedia principles</w:t>
      </w:r>
      <w:r w:rsidRPr="00440B48">
        <w:rPr>
          <w:rFonts w:ascii="Times New Roman" w:hAnsi="Times New Roman" w:cs="Times New Roman"/>
          <w:sz w:val="28"/>
          <w:szCs w:val="26"/>
        </w:rPr>
        <w:t>—such as </w:t>
      </w:r>
      <w:r w:rsidRPr="00440B48">
        <w:rPr>
          <w:rFonts w:ascii="Times New Roman" w:hAnsi="Times New Roman" w:cs="Times New Roman"/>
          <w:b/>
          <w:bCs/>
          <w:sz w:val="28"/>
          <w:szCs w:val="26"/>
        </w:rPr>
        <w:t>dual coding (visual + verbal explanations), segmentation (breaking lessons into chunks), and interactivity</w:t>
      </w:r>
      <w:r w:rsidRPr="00440B48">
        <w:rPr>
          <w:rFonts w:ascii="Times New Roman" w:hAnsi="Times New Roman" w:cs="Times New Roman"/>
          <w:sz w:val="28"/>
          <w:szCs w:val="26"/>
        </w:rPr>
        <w:t>—to optimize knowledge retention (Mayer, 2017). For example, an animated simulation of </w:t>
      </w:r>
      <w:r w:rsidRPr="00440B48">
        <w:rPr>
          <w:rFonts w:ascii="Times New Roman" w:hAnsi="Times New Roman" w:cs="Times New Roman"/>
          <w:b/>
          <w:bCs/>
          <w:sz w:val="28"/>
          <w:szCs w:val="26"/>
        </w:rPr>
        <w:t>electrochemical cells</w:t>
      </w:r>
      <w:r w:rsidRPr="00440B48">
        <w:rPr>
          <w:rFonts w:ascii="Times New Roman" w:hAnsi="Times New Roman" w:cs="Times New Roman"/>
          <w:sz w:val="28"/>
          <w:szCs w:val="26"/>
        </w:rPr>
        <w:t> that visually demonstrates electron flow while narrating key concepts reduces cognitive overload and enhances comprehension (Adarkwah, 2021).</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However, poorly designed e-learning materials can have the opposite effect, increasing </w:t>
      </w:r>
      <w:r w:rsidRPr="00440B48">
        <w:rPr>
          <w:rFonts w:ascii="Times New Roman" w:hAnsi="Times New Roman" w:cs="Times New Roman"/>
          <w:b/>
          <w:bCs/>
          <w:sz w:val="28"/>
          <w:szCs w:val="26"/>
        </w:rPr>
        <w:t>extraneous cognitive load</w:t>
      </w:r>
      <w:r w:rsidRPr="00440B48">
        <w:rPr>
          <w:rFonts w:ascii="Times New Roman" w:hAnsi="Times New Roman" w:cs="Times New Roman"/>
          <w:sz w:val="28"/>
          <w:szCs w:val="26"/>
        </w:rPr>
        <w:t> through unnecessary graphics, cluttered interfaces, or irrelevant information (Clark &amp; Mayer, 2016). Research on Nigerian secondary schools reveals that </w:t>
      </w:r>
      <w:r w:rsidRPr="00440B48">
        <w:rPr>
          <w:rFonts w:ascii="Times New Roman" w:hAnsi="Times New Roman" w:cs="Times New Roman"/>
          <w:b/>
          <w:bCs/>
          <w:sz w:val="28"/>
          <w:szCs w:val="26"/>
        </w:rPr>
        <w:t xml:space="preserve">only 35% of available e-learning resources in </w:t>
      </w:r>
      <w:r w:rsidRPr="00440B48">
        <w:rPr>
          <w:rFonts w:ascii="Times New Roman" w:hAnsi="Times New Roman" w:cs="Times New Roman"/>
          <w:b/>
          <w:bCs/>
          <w:sz w:val="28"/>
          <w:szCs w:val="26"/>
        </w:rPr>
        <w:lastRenderedPageBreak/>
        <w:t>chemistry adhere to multimedia learning principles</w:t>
      </w:r>
      <w:r w:rsidRPr="00440B48">
        <w:rPr>
          <w:rFonts w:ascii="Times New Roman" w:hAnsi="Times New Roman" w:cs="Times New Roman"/>
          <w:sz w:val="28"/>
          <w:szCs w:val="26"/>
        </w:rPr>
        <w:t>, with many containing excessive text or distracting animations (Onyema et al., 2020). This underscores the need for </w:t>
      </w:r>
      <w:r w:rsidRPr="00440B48">
        <w:rPr>
          <w:rFonts w:ascii="Times New Roman" w:hAnsi="Times New Roman" w:cs="Times New Roman"/>
          <w:b/>
          <w:bCs/>
          <w:sz w:val="28"/>
          <w:szCs w:val="26"/>
        </w:rPr>
        <w:t>locally adapted, pedagogically sound digital content</w:t>
      </w:r>
      <w:r w:rsidRPr="00440B48">
        <w:rPr>
          <w:rFonts w:ascii="Times New Roman" w:hAnsi="Times New Roman" w:cs="Times New Roman"/>
          <w:sz w:val="28"/>
          <w:szCs w:val="26"/>
        </w:rPr>
        <w:t> that aligns with curriculum objectives while minimizing cognitive strain.</w:t>
      </w:r>
    </w:p>
    <w:p w:rsidR="008B166C" w:rsidRPr="00440B48" w:rsidRDefault="008B166C" w:rsidP="008B166C">
      <w:pPr>
        <w:spacing w:line="360" w:lineRule="auto"/>
        <w:jc w:val="both"/>
        <w:rPr>
          <w:rFonts w:ascii="Times New Roman" w:hAnsi="Times New Roman" w:cs="Times New Roman"/>
          <w:i/>
          <w:sz w:val="28"/>
          <w:szCs w:val="26"/>
        </w:rPr>
      </w:pPr>
      <w:r w:rsidRPr="00440B48">
        <w:rPr>
          <w:rFonts w:ascii="Times New Roman" w:hAnsi="Times New Roman" w:cs="Times New Roman"/>
          <w:b/>
          <w:bCs/>
          <w:i/>
          <w:sz w:val="28"/>
          <w:szCs w:val="26"/>
        </w:rPr>
        <w:t>The Role of Digital Literacy and Self-Regulated Learning</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effectiveness of e-learning in chemistry also depends on </w:t>
      </w:r>
      <w:r w:rsidRPr="00440B48">
        <w:rPr>
          <w:rFonts w:ascii="Times New Roman" w:hAnsi="Times New Roman" w:cs="Times New Roman"/>
          <w:b/>
          <w:bCs/>
          <w:sz w:val="28"/>
          <w:szCs w:val="26"/>
        </w:rPr>
        <w:t>students' digital literacy and self-regulated learning (SRL) skills</w:t>
      </w:r>
      <w:r w:rsidRPr="00440B48">
        <w:rPr>
          <w:rFonts w:ascii="Times New Roman" w:hAnsi="Times New Roman" w:cs="Times New Roman"/>
          <w:sz w:val="28"/>
          <w:szCs w:val="26"/>
        </w:rPr>
        <w:t> (Eshet-Alkalai, 2012). Digital literacy encompasses not only the ability to operate devices but also the competence to </w:t>
      </w:r>
      <w:r w:rsidRPr="00440B48">
        <w:rPr>
          <w:rFonts w:ascii="Times New Roman" w:hAnsi="Times New Roman" w:cs="Times New Roman"/>
          <w:b/>
          <w:bCs/>
          <w:sz w:val="28"/>
          <w:szCs w:val="26"/>
        </w:rPr>
        <w:t>critically evaluate online resources, collaborate in digital spaces, and troubleshoot technical issues</w:t>
      </w:r>
      <w:r w:rsidRPr="00440B48">
        <w:rPr>
          <w:rFonts w:ascii="Times New Roman" w:hAnsi="Times New Roman" w:cs="Times New Roman"/>
          <w:sz w:val="28"/>
          <w:szCs w:val="26"/>
        </w:rPr>
        <w:t> (UNESCO, 2022). In Nigerian secondary schools, a </w:t>
      </w:r>
      <w:r w:rsidRPr="00440B48">
        <w:rPr>
          <w:rFonts w:ascii="Times New Roman" w:hAnsi="Times New Roman" w:cs="Times New Roman"/>
          <w:b/>
          <w:bCs/>
          <w:sz w:val="28"/>
          <w:szCs w:val="26"/>
        </w:rPr>
        <w:t>2022 UNICEF report</w:t>
      </w:r>
      <w:r w:rsidRPr="00440B48">
        <w:rPr>
          <w:rFonts w:ascii="Times New Roman" w:hAnsi="Times New Roman" w:cs="Times New Roman"/>
          <w:sz w:val="28"/>
          <w:szCs w:val="26"/>
        </w:rPr>
        <w:t> found that </w:t>
      </w:r>
      <w:r w:rsidRPr="00440B48">
        <w:rPr>
          <w:rFonts w:ascii="Times New Roman" w:hAnsi="Times New Roman" w:cs="Times New Roman"/>
          <w:b/>
          <w:bCs/>
          <w:sz w:val="28"/>
          <w:szCs w:val="26"/>
        </w:rPr>
        <w:t>only 45% of students possess basic digital literacy skills</w:t>
      </w:r>
      <w:r w:rsidRPr="00440B48">
        <w:rPr>
          <w:rFonts w:ascii="Times New Roman" w:hAnsi="Times New Roman" w:cs="Times New Roman"/>
          <w:sz w:val="28"/>
          <w:szCs w:val="26"/>
        </w:rPr>
        <w:t>, limiting their ability to fully utilize e-learning platforms. This gap is particularly problematic in chemistry, where students must navigate specialized software like </w:t>
      </w:r>
      <w:r w:rsidRPr="00440B48">
        <w:rPr>
          <w:rFonts w:ascii="Times New Roman" w:hAnsi="Times New Roman" w:cs="Times New Roman"/>
          <w:b/>
          <w:bCs/>
          <w:sz w:val="28"/>
          <w:szCs w:val="26"/>
        </w:rPr>
        <w:t>PhET simulations or ChemCollective virtual labs</w:t>
      </w:r>
      <w:r w:rsidRPr="00440B48">
        <w:rPr>
          <w:rFonts w:ascii="Times New Roman" w:hAnsi="Times New Roman" w:cs="Times New Roman"/>
          <w:sz w:val="28"/>
          <w:szCs w:val="26"/>
        </w:rPr>
        <w:t> (Adesina&amp;Akinbobola, 2022).</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Self-regulated learning (SRL) is equally crucial, as e-learning often requires students to </w:t>
      </w:r>
      <w:r w:rsidRPr="00440B48">
        <w:rPr>
          <w:rFonts w:ascii="Times New Roman" w:hAnsi="Times New Roman" w:cs="Times New Roman"/>
          <w:b/>
          <w:bCs/>
          <w:sz w:val="28"/>
          <w:szCs w:val="26"/>
        </w:rPr>
        <w:t>set goals, monitor progress, and seek help independently</w:t>
      </w:r>
      <w:r w:rsidRPr="00440B48">
        <w:rPr>
          <w:rFonts w:ascii="Times New Roman" w:hAnsi="Times New Roman" w:cs="Times New Roman"/>
          <w:sz w:val="28"/>
          <w:szCs w:val="26"/>
        </w:rPr>
        <w:t> (Zimmerman, 2002). Studies indicate that chemistry students who engage in </w:t>
      </w:r>
      <w:r w:rsidRPr="00440B48">
        <w:rPr>
          <w:rFonts w:ascii="Times New Roman" w:hAnsi="Times New Roman" w:cs="Times New Roman"/>
          <w:b/>
          <w:bCs/>
          <w:sz w:val="28"/>
          <w:szCs w:val="26"/>
        </w:rPr>
        <w:t>SRL strategies—such as using digital flashcards, participating in online discussion forums, or setting reminders for revision—perform 25% better in standardized tests</w:t>
      </w:r>
      <w:r w:rsidRPr="00440B48">
        <w:rPr>
          <w:rFonts w:ascii="Times New Roman" w:hAnsi="Times New Roman" w:cs="Times New Roman"/>
          <w:sz w:val="28"/>
          <w:szCs w:val="26"/>
        </w:rPr>
        <w:t> than those who passively consume content (Hwang et al., 2020). However, without proper scaffolding from teachers, many students struggle with self-discipline in digital environments, leading to </w:t>
      </w:r>
      <w:r w:rsidRPr="00440B48">
        <w:rPr>
          <w:rFonts w:ascii="Times New Roman" w:hAnsi="Times New Roman" w:cs="Times New Roman"/>
          <w:b/>
          <w:bCs/>
          <w:sz w:val="28"/>
          <w:szCs w:val="26"/>
        </w:rPr>
        <w:t>shallow learning or disengagement</w:t>
      </w:r>
      <w:r w:rsidRPr="00440B48">
        <w:rPr>
          <w:rFonts w:ascii="Times New Roman" w:hAnsi="Times New Roman" w:cs="Times New Roman"/>
          <w:sz w:val="28"/>
          <w:szCs w:val="26"/>
        </w:rPr>
        <w:t> (Adeoye et al., 2021).</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Combining these theoretical perspectives, an </w:t>
      </w:r>
      <w:r w:rsidRPr="00440B48">
        <w:rPr>
          <w:rFonts w:ascii="Times New Roman" w:hAnsi="Times New Roman" w:cs="Times New Roman"/>
          <w:b/>
          <w:bCs/>
          <w:sz w:val="28"/>
          <w:szCs w:val="26"/>
        </w:rPr>
        <w:t>integrated conceptual framework for e-learning in chemistry education</w:t>
      </w:r>
      <w:r w:rsidRPr="00440B48">
        <w:rPr>
          <w:rFonts w:ascii="Times New Roman" w:hAnsi="Times New Roman" w:cs="Times New Roman"/>
          <w:sz w:val="28"/>
          <w:szCs w:val="26"/>
        </w:rPr>
        <w:t> emerges, comprising:</w:t>
      </w:r>
    </w:p>
    <w:p w:rsidR="008B166C" w:rsidRPr="00440B48" w:rsidRDefault="008B166C" w:rsidP="008B166C">
      <w:pPr>
        <w:numPr>
          <w:ilvl w:val="0"/>
          <w:numId w:val="6"/>
        </w:numPr>
        <w:spacing w:after="200"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Constructivist Learning</w:t>
      </w:r>
      <w:r w:rsidRPr="00440B48">
        <w:rPr>
          <w:rFonts w:ascii="Times New Roman" w:hAnsi="Times New Roman" w:cs="Times New Roman"/>
          <w:sz w:val="28"/>
          <w:szCs w:val="26"/>
        </w:rPr>
        <w:t> (active engagement through simulations and virtual labs)</w:t>
      </w:r>
    </w:p>
    <w:p w:rsidR="008B166C" w:rsidRPr="00440B48" w:rsidRDefault="008B166C" w:rsidP="008B166C">
      <w:pPr>
        <w:numPr>
          <w:ilvl w:val="0"/>
          <w:numId w:val="6"/>
        </w:numPr>
        <w:spacing w:after="200"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lastRenderedPageBreak/>
        <w:t>TPACK Integration</w:t>
      </w:r>
      <w:r w:rsidRPr="00440B48">
        <w:rPr>
          <w:rFonts w:ascii="Times New Roman" w:hAnsi="Times New Roman" w:cs="Times New Roman"/>
          <w:sz w:val="28"/>
          <w:szCs w:val="26"/>
        </w:rPr>
        <w:t> (teacher competence in blending technology, pedagogy, and content)</w:t>
      </w:r>
    </w:p>
    <w:p w:rsidR="008B166C" w:rsidRPr="00440B48" w:rsidRDefault="008B166C" w:rsidP="008B166C">
      <w:pPr>
        <w:numPr>
          <w:ilvl w:val="0"/>
          <w:numId w:val="6"/>
        </w:numPr>
        <w:spacing w:after="200"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Cognitive Load Optimization</w:t>
      </w:r>
      <w:r w:rsidRPr="00440B48">
        <w:rPr>
          <w:rFonts w:ascii="Times New Roman" w:hAnsi="Times New Roman" w:cs="Times New Roman"/>
          <w:sz w:val="28"/>
          <w:szCs w:val="26"/>
        </w:rPr>
        <w:t> (multimedia design principles to enhance understanding)</w:t>
      </w:r>
    </w:p>
    <w:p w:rsidR="008B166C" w:rsidRPr="00440B48" w:rsidRDefault="008B166C" w:rsidP="008B166C">
      <w:pPr>
        <w:numPr>
          <w:ilvl w:val="0"/>
          <w:numId w:val="6"/>
        </w:numPr>
        <w:spacing w:after="200"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Digital Literacy &amp; SRL</w:t>
      </w:r>
      <w:r w:rsidRPr="00440B48">
        <w:rPr>
          <w:rFonts w:ascii="Times New Roman" w:hAnsi="Times New Roman" w:cs="Times New Roman"/>
          <w:sz w:val="28"/>
          <w:szCs w:val="26"/>
        </w:rPr>
        <w:t> (student skills for effective online learning)</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This framework provides a foundation for evaluating the </w:t>
      </w:r>
      <w:r w:rsidRPr="00440B48">
        <w:rPr>
          <w:rFonts w:ascii="Times New Roman" w:hAnsi="Times New Roman" w:cs="Times New Roman"/>
          <w:b/>
          <w:bCs/>
          <w:sz w:val="28"/>
          <w:szCs w:val="26"/>
        </w:rPr>
        <w:t>knowledge and availability of e-learning facilities</w:t>
      </w:r>
      <w:r w:rsidRPr="00440B48">
        <w:rPr>
          <w:rFonts w:ascii="Times New Roman" w:hAnsi="Times New Roman" w:cs="Times New Roman"/>
          <w:sz w:val="28"/>
          <w:szCs w:val="26"/>
        </w:rPr>
        <w:t> in secondary school chemistry. It highlights that </w:t>
      </w:r>
      <w:r w:rsidRPr="00440B48">
        <w:rPr>
          <w:rFonts w:ascii="Times New Roman" w:hAnsi="Times New Roman" w:cs="Times New Roman"/>
          <w:b/>
          <w:bCs/>
          <w:sz w:val="28"/>
          <w:szCs w:val="26"/>
        </w:rPr>
        <w:t>mere access to technology is insufficient</w:t>
      </w:r>
      <w:r w:rsidRPr="00440B48">
        <w:rPr>
          <w:rFonts w:ascii="Times New Roman" w:hAnsi="Times New Roman" w:cs="Times New Roman"/>
          <w:sz w:val="28"/>
          <w:szCs w:val="26"/>
        </w:rPr>
        <w:t>—successful implementation requires </w:t>
      </w:r>
      <w:r w:rsidRPr="00440B48">
        <w:rPr>
          <w:rFonts w:ascii="Times New Roman" w:hAnsi="Times New Roman" w:cs="Times New Roman"/>
          <w:b/>
          <w:bCs/>
          <w:sz w:val="28"/>
          <w:szCs w:val="26"/>
        </w:rPr>
        <w:t>teacher training, well-designed resources, and student readiness</w:t>
      </w:r>
      <w:r w:rsidRPr="00440B48">
        <w:rPr>
          <w:rFonts w:ascii="Times New Roman" w:hAnsi="Times New Roman" w:cs="Times New Roman"/>
          <w:sz w:val="28"/>
          <w:szCs w:val="26"/>
        </w:rPr>
        <w:t> (UNESCO, 2022). Future research should explore how this framework applies in </w:t>
      </w:r>
      <w:r w:rsidRPr="00440B48">
        <w:rPr>
          <w:rFonts w:ascii="Times New Roman" w:hAnsi="Times New Roman" w:cs="Times New Roman"/>
          <w:b/>
          <w:bCs/>
          <w:sz w:val="28"/>
          <w:szCs w:val="26"/>
        </w:rPr>
        <w:t>low-resource settings</w:t>
      </w:r>
      <w:r w:rsidRPr="00440B48">
        <w:rPr>
          <w:rFonts w:ascii="Times New Roman" w:hAnsi="Times New Roman" w:cs="Times New Roman"/>
          <w:sz w:val="28"/>
          <w:szCs w:val="26"/>
        </w:rPr>
        <w:t>, where infrastructure limitations and socioeconomic barriers further complicate e-learning adoption (Onyema et al., 2020).</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GLOBAL AND REGIONAL AVAILABILITY OF CHEMISTRY E-LEARNING RESOURCES</w:t>
      </w:r>
    </w:p>
    <w:p w:rsidR="008B166C" w:rsidRPr="00440B48" w:rsidRDefault="008B166C" w:rsidP="008B166C">
      <w:pPr>
        <w:spacing w:line="360" w:lineRule="auto"/>
        <w:jc w:val="both"/>
        <w:rPr>
          <w:rFonts w:ascii="Times New Roman" w:hAnsi="Times New Roman" w:cs="Times New Roman"/>
          <w:i/>
          <w:sz w:val="28"/>
          <w:szCs w:val="26"/>
        </w:rPr>
      </w:pPr>
      <w:r w:rsidRPr="00440B48">
        <w:rPr>
          <w:rFonts w:ascii="Times New Roman" w:hAnsi="Times New Roman" w:cs="Times New Roman"/>
          <w:b/>
          <w:bCs/>
          <w:i/>
          <w:sz w:val="28"/>
          <w:szCs w:val="26"/>
        </w:rPr>
        <w:t>Global Disparities in Access to Chemistry E-Learning Tools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The availability of e-learning resources for chemistry education varies dramatically across different regions of the world, reflecting broader patterns of technological and economic development. According to UNESCO's 2022 Global Education Monitoring Report, high-income countries demonstrate near-universal access to advanced chemistry e-learning tools, with 89% of secondary schools in North America and Western Europe utilizing virtual laboratories and molecular modeling software. In stark contrast, only 23% of schools in low-income countries have access to similar resources, creating what the World Bank (2023) terms a "digital learning divide" in STEM education. This disparity is particularly consequential for chemistry education, where interactive simulations and virtual experiments can compensate for lack of physical laboratory infrastructure (Adeoye et al., 2021). The Organization for Economic Cooperation and Development (OECD, 2022) reports that students in </w:t>
      </w:r>
      <w:r w:rsidRPr="00440B48">
        <w:rPr>
          <w:rFonts w:ascii="Times New Roman" w:hAnsi="Times New Roman" w:cs="Times New Roman"/>
          <w:sz w:val="28"/>
          <w:szCs w:val="26"/>
        </w:rPr>
        <w:lastRenderedPageBreak/>
        <w:t>schools with well-implemented chemistry e-learning programs score 31% higher on international science assessments, highlighting the transformative potential of these resources when available.</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Regional analyses reveal even more pronounced gaps within the developing world. In sub-Saharan Africa, only 18% of secondary schools have sufficient internet bandwidth to support streaming of chemistry instructional videos, while just 12% maintain subscriptions to premium chemistry e-learning platforms like Labster or ChemCollective (Global Education Monitoring Report, 2022). A 2023 study by the African Union's Education Division found that Francophone African nations lag particularly behind, with only 9% of chemistry teachers having ever used digital periodic table applications compared to 28% in Anglophone countries (AU Education Report, 2023). These disparities persist despite chemistry being a compulsory subject for STEM tracks across the continent, suggesting that systemic barriers rather than curricular priorities drive the uneven distribution of e-learning resources.</w:t>
      </w:r>
    </w:p>
    <w:p w:rsidR="008B166C" w:rsidRPr="00440B48" w:rsidRDefault="008B166C" w:rsidP="008B166C">
      <w:pPr>
        <w:spacing w:line="360" w:lineRule="auto"/>
        <w:jc w:val="both"/>
        <w:rPr>
          <w:rFonts w:ascii="Times New Roman" w:hAnsi="Times New Roman" w:cs="Times New Roman"/>
          <w:i/>
          <w:sz w:val="28"/>
          <w:szCs w:val="26"/>
        </w:rPr>
      </w:pPr>
      <w:r w:rsidRPr="00440B48">
        <w:rPr>
          <w:rFonts w:ascii="Times New Roman" w:hAnsi="Times New Roman" w:cs="Times New Roman"/>
          <w:b/>
          <w:bCs/>
          <w:i/>
          <w:sz w:val="28"/>
          <w:szCs w:val="26"/>
        </w:rPr>
        <w:t>National-Level Variations in E-Learning Implementation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At the national level, the availability of chemistry e-learning resources often correlates strongly with government policies and investment in educational technology. South Korea serves as a notable success story, where a nationwide digital textbook initiative has provided 97% of secondary schools with interactive chemistry learning modules integrated with augmented reality features (Korean Ministry of Education, 2022). Similarly, Estonia's "ProgeTiiger" program has equipped all secondary schools with virtual chemistry laboratories, contributing to the country's top-tier performance in PISA science assessments (OECD, 2021). These examples demonstrate how coordinated national strategies can achieve near-universal access to quality chemistry e-learning tools.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In developing nations, implementation patterns reveal more complex dynamics. Nigeria's National Bureau of Statistics (2022) reports that only 34% of public </w:t>
      </w:r>
      <w:r w:rsidRPr="00440B48">
        <w:rPr>
          <w:rFonts w:ascii="Times New Roman" w:hAnsi="Times New Roman" w:cs="Times New Roman"/>
          <w:sz w:val="28"/>
          <w:szCs w:val="26"/>
        </w:rPr>
        <w:lastRenderedPageBreak/>
        <w:t>secondary schools have functional computer laboratories, with even fewer (15%) providing chemistry-specific e-learning software. However, significant variations exist across states, with Lagos and Rivers States reporting 52% and 48% school access respectively, compared to just 11% in Sokoto and Kebbi States (NBS, 2022). These disparities mirror broader patterns of educational inequality and reflect what Adeyemi and Adeyinka (2022) describe as "digital education deserts" in Nigeria's northern regions. Interestingly, private schools show markedly better resourcing, with 68% offering chemistry e-learning tools compared to 22% of public schools (Education Sector Support Program in Nigeria, 2022), highlighting how socioeconomic factors compound regional disparities in access.</w:t>
      </w:r>
    </w:p>
    <w:p w:rsidR="008B166C" w:rsidRPr="00440B48" w:rsidRDefault="008B166C" w:rsidP="008B166C">
      <w:pPr>
        <w:spacing w:line="360" w:lineRule="auto"/>
        <w:jc w:val="both"/>
        <w:rPr>
          <w:rFonts w:ascii="Times New Roman" w:hAnsi="Times New Roman" w:cs="Times New Roman"/>
          <w:i/>
          <w:sz w:val="28"/>
          <w:szCs w:val="26"/>
        </w:rPr>
      </w:pPr>
      <w:r w:rsidRPr="00440B48">
        <w:rPr>
          <w:rFonts w:ascii="Times New Roman" w:hAnsi="Times New Roman" w:cs="Times New Roman"/>
          <w:b/>
          <w:bCs/>
          <w:i/>
          <w:sz w:val="28"/>
          <w:szCs w:val="26"/>
        </w:rPr>
        <w:t>Urban-Rural Divides in Resource Distribution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urban-rural divide represents one of the most persistent challenges in equitable distribution of chemistry e-learning resources. A comparative study across six Nigerian states found that urban schools were 4.3 times more likely to utilize digital periodic tables and reaction simulators than rural institutions (Adesina&amp;Akinbobola, 2022). This gap stems from multiple factors: 78% of rural schools in developing countries lack reliable electricity compared to 34% of urban schools (World Bank, 2023), while internet penetration rates in rural areas average just 28% versus 65% in urban centers (ITU, 2022). For chemistry education specifically, these infrastructure limitations are compounded by logistical challenges in maintaining sophisticated e-learning equipment in remote locations.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Mobile learning has emerged as a promising solution to bridge this urban-rural divide. Ghana's "ChemMobile" initiative, which delivers chemistry lessons via SMS and basic feature phones, has reached 82% of rural schools at a fraction of the cost of computer-based solutions (Agyei et al., 2021). Similarly, Nigeria's "Chemistry for All" program utilizes USSD codes to provide interactive chemistry quizzes, achieving 76% participation rates in rural areas where smartphone penetration remains low (ESSPIN, 2022). These innovative approaches demonstrate how low-</w:t>
      </w:r>
      <w:r w:rsidRPr="00440B48">
        <w:rPr>
          <w:rFonts w:ascii="Times New Roman" w:hAnsi="Times New Roman" w:cs="Times New Roman"/>
          <w:sz w:val="28"/>
          <w:szCs w:val="26"/>
        </w:rPr>
        <w:lastRenderedPageBreak/>
        <w:t>bandwidth solutions can extend the benefits of e-learning to underserved regions, though they cannot fully replace more sophisticated virtual laboratory experiences.</w:t>
      </w:r>
    </w:p>
    <w:p w:rsidR="008B166C" w:rsidRPr="00440B48" w:rsidRDefault="008B166C" w:rsidP="008B166C">
      <w:pPr>
        <w:spacing w:line="360" w:lineRule="auto"/>
        <w:jc w:val="both"/>
        <w:rPr>
          <w:rFonts w:ascii="Times New Roman" w:hAnsi="Times New Roman" w:cs="Times New Roman"/>
          <w:i/>
          <w:sz w:val="28"/>
          <w:szCs w:val="26"/>
        </w:rPr>
      </w:pPr>
      <w:r w:rsidRPr="00440B48">
        <w:rPr>
          <w:rFonts w:ascii="Times New Roman" w:hAnsi="Times New Roman" w:cs="Times New Roman"/>
          <w:b/>
          <w:bCs/>
          <w:i/>
          <w:sz w:val="28"/>
          <w:szCs w:val="26"/>
        </w:rPr>
        <w:t>Subject-Specific Availability and Curriculum Alignment</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availability of e-learning resources varies significantly across school subjects, with chemistry often receiving less attention than mathematics or physics in digital education initiatives. A UNESCO (2022) analysis of 147 national e-learning platforms found that only 38% included dedicated chemistry sections, compared to 72% for mathematics and 65% for physics. This subject-specific disparity is particularly problematic given chemistry's heavy reliance on visual-spatial representations and practical experimentation (Johnstone, 2019). When available, chemistry e-learning materials frequently lack alignment with national curricula. In Nigeria, for instance, a 2021 review by the Nigerian Educational Research and Development Council (NERDC) found that 60% of commercially available chemistry e-learning packages covered less than half of the topics in the national curriculum.</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COVID-19 pandemic temporarily improved this situation, with emergency remote learning initiatives spurring development of localized chemistry content. The African Virtual University's "Open Chemistry" project created 120 curriculum-aligned interactive modules for secondary schools across 15 African countries (AVU, 2022). However, sustainability remains a challenge, with many pandemic-era resources becoming inactive due to lack of maintenance funding. This underscores the need for long-term investment in locally relevant chemistry e-learning content that aligns with national examination requirements and teaching methodologies.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2.4 Teacher Digital Competencies and Professional Development Needs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The successful implementation of chemistry e-learning initiatives hinges critically on teacher preparedness. A five-nation African study revealed that only 39% of secondary chemistry teachers could confidently operate virtual lab software, while </w:t>
      </w:r>
      <w:r w:rsidRPr="00440B48">
        <w:rPr>
          <w:rFonts w:ascii="Times New Roman" w:hAnsi="Times New Roman" w:cs="Times New Roman"/>
          <w:sz w:val="28"/>
          <w:szCs w:val="26"/>
        </w:rPr>
        <w:lastRenderedPageBreak/>
        <w:t>just 28% had received formal training in digital pedagogies (PanAf, 2021). Nigerian data paints a similar picture, with 67% of chemistry teachers in public schools reporting no experience using molecular modeling tools, and 82% unable to create digital assessments (Onyema et al., 2020). These competency gaps frequently lead to "technology ornamentalization" - where expensive e-learning equipment remains unused or becomes mere classroom decoration (Johnstone, 2019).</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Effective professional development models must address both technical skills and pedagogical integration. A Tanzanian case study demonstrated that sustained (6-month+) training programs combining hands-on workshops with collaborative lesson planning increased chemistry teachers' e-learning utilization by 300% (Mtebe&amp;Raisamo, 2020). Similarly, Nigeria's EdoBEST program achieved 74% teacher adoption of tablet-based chemistry instruction through intensive coaching and real-time performance feedback mechanisms (Education Partnership Africa, 2022). These findings suggest that one-off training seminars are insufficient; rather, ongoing support communities and incentive structures are essential for meaningful technology integration.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2.5 Student Engagement and Learning Outcomes with E-Learning Tools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Emerging research provides compelling evidence about e-learning's impact on chemistry education outcomes. A meta-analysis of 37 studies found that virtual labs enhanced practical chemistry skills nearly as effectively as physical labs (effect size = 0.89 vs 1.02), while significantly reducing safety risks and resource costs (Pyatt&amp; Sims, 2021). Gamified learning platforms like ChemCaper have demonstrated particular efficacy in Nigeria, increasing student motivation metrics by 42% and reducing topic mastery time by 30% compared to textbook methods (Hwang et al., 2020).</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However, equity concerns persist in e-learning adoption. A UNICEF (2022) assessment revealed that female students in Northern Nigeria faced 35% fewer opportunities to access school computer labs than male peers due to sociocultural </w:t>
      </w:r>
      <w:r w:rsidRPr="00440B48">
        <w:rPr>
          <w:rFonts w:ascii="Times New Roman" w:hAnsi="Times New Roman" w:cs="Times New Roman"/>
          <w:sz w:val="28"/>
          <w:szCs w:val="26"/>
        </w:rPr>
        <w:lastRenderedPageBreak/>
        <w:t>restrictions. Additionally, students with special needs often encounter accessibility barriers in digital chemistry resources; a review of 50 popular e-learning platforms found only 12% offered full compatibility with screen readers for visually impaired learners (Global Initiative for Inclusive ICTs, 2021). These findings underscore the necessity of universal design principles in developing inclusive chemistry e-learning solutions.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2.6 Systemic Challenges and Barriers to Implementation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Infrastructure limitations represent the most frequently cited barrier to chemistry e-learning adoption in developing contexts. Nigeria's Federal Ministry of Education (2022) reports that 68% of public secondary schools experience daily power outages, while only 22% have backup generators to sustain digital lessons. Internet connectivity presents another major hurdle, with rural schools averaging just 2.5Mbps bandwidth - insufficient for streaming high-quality chemistry simulations that typically require 5-10Mbps (ITU, 2021).</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Curriculum misalignment further hampers e-learning effectiveness. An analysis of Nigeria's Senior Secondary Chemistry Curriculum revealed that 60% of recommended practical activities lack corresponding digital resources in locally available e-learning packages (NERDC, 2021). Additionally, examination systems emphasizing rote memorization rather than conceptual application discourage innovative teaching methods. As one Lagos chemistry teacher noted: "Until WAEC [West African Examinations Council] changes its assessment patterns, many colleagues see no urgency in adopting e-learning tools" (Personal interview, March 2023).</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2.7 Emerging Best Practices and Implementation Strategies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Successful chemistry e-learning programs share several key characteristics. First, they employ phased implementation approaches, like Rwanda's model of initially equipping regional hub schools before expanding to satellite institutions (REB, </w:t>
      </w:r>
      <w:r w:rsidRPr="00440B48">
        <w:rPr>
          <w:rFonts w:ascii="Times New Roman" w:hAnsi="Times New Roman" w:cs="Times New Roman"/>
          <w:sz w:val="28"/>
          <w:szCs w:val="26"/>
        </w:rPr>
        <w:lastRenderedPageBreak/>
        <w:t>2022). Second, they prioritize contextualized content development; Kenya's Digital Literacy Programme improved chemistry outcomes by 25% through locally produced interactive materials in Swahili and English (KICD, 2021). Third, they establish public-private partnerships - as demonstrated by Ondo State's collaboration with Microsoft to provide 10,000 chemistry teachers with Office 365 training and Surface devices (Vanguard, 2023).</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Blended learning models combining online and hands-on activities show particular promise. A Nigerian study found that schools using hybrid chemistry instruction (virtual labs plus minimal physical experiments) achieved 18% higher WAEC scores than those relying solely on traditional methods (Adeoye et al., 2022). Mobile-optimized microlearning resources also prove valuable in low-resource settings, with Ghana's "ChemMaster" SMS quiz system demonstrating 92% student engagement rates at negligible costs (Agyei et al., 2021).</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2.8 Summary and Knowledge Gaps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This literature review reveals both the transformative potential and complex challenges of implementing e-learning in secondary school chemistry education. While substantial evidence supports digital tools' efficacy in enhancing conceptual understanding and practical skills, significant gaps persist in infrastructure availability, teacher preparedness, and equitable access - particularly across Nigeria's diverse educational landscape. Few studies have comprehensively examined the interplay between resource availability, teacher competencies, and student outcomes in Nigerian chemistry classrooms, highlighting the need for the present investigation. By addressing these knowledge gaps, this study aims to contribute actionable insights for policymakers and educators seeking to harness e-learning's benefits while mitigating implementation barriers.</w:t>
      </w: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Default="008B166C" w:rsidP="008B166C">
      <w:pPr>
        <w:spacing w:line="360" w:lineRule="auto"/>
        <w:jc w:val="center"/>
        <w:rPr>
          <w:rFonts w:ascii="Times New Roman" w:hAnsi="Times New Roman" w:cs="Times New Roman"/>
          <w:b/>
          <w:bCs/>
          <w:sz w:val="28"/>
          <w:szCs w:val="26"/>
        </w:rPr>
      </w:pPr>
    </w:p>
    <w:p w:rsidR="008B166C" w:rsidRDefault="008B166C" w:rsidP="008B166C">
      <w:pPr>
        <w:spacing w:line="360" w:lineRule="auto"/>
        <w:jc w:val="center"/>
        <w:rPr>
          <w:rFonts w:ascii="Times New Roman" w:hAnsi="Times New Roman" w:cs="Times New Roman"/>
          <w:b/>
          <w:bCs/>
          <w:sz w:val="28"/>
          <w:szCs w:val="26"/>
        </w:rPr>
      </w:pPr>
    </w:p>
    <w:p w:rsidR="008B166C" w:rsidRDefault="008B166C" w:rsidP="008B166C">
      <w:pPr>
        <w:spacing w:line="360" w:lineRule="auto"/>
        <w:jc w:val="center"/>
        <w:rPr>
          <w:rFonts w:ascii="Times New Roman" w:hAnsi="Times New Roman" w:cs="Times New Roman"/>
          <w:b/>
          <w:bCs/>
          <w:sz w:val="28"/>
          <w:szCs w:val="26"/>
        </w:rPr>
      </w:pPr>
    </w:p>
    <w:p w:rsidR="008B166C" w:rsidRDefault="008B166C" w:rsidP="008B166C">
      <w:pPr>
        <w:spacing w:line="360" w:lineRule="auto"/>
        <w:jc w:val="center"/>
        <w:rPr>
          <w:rFonts w:ascii="Times New Roman" w:hAnsi="Times New Roman" w:cs="Times New Roman"/>
          <w:b/>
          <w:bCs/>
          <w:sz w:val="28"/>
          <w:szCs w:val="26"/>
        </w:rPr>
      </w:pPr>
    </w:p>
    <w:p w:rsidR="008B166C" w:rsidRDefault="008B166C" w:rsidP="008B166C">
      <w:pPr>
        <w:spacing w:line="360" w:lineRule="auto"/>
        <w:jc w:val="center"/>
        <w:rPr>
          <w:rFonts w:ascii="Times New Roman" w:hAnsi="Times New Roman" w:cs="Times New Roman"/>
          <w:b/>
          <w:bCs/>
          <w:sz w:val="28"/>
          <w:szCs w:val="26"/>
        </w:rPr>
      </w:pPr>
    </w:p>
    <w:p w:rsidR="008B166C" w:rsidRDefault="008B166C" w:rsidP="008B166C">
      <w:pPr>
        <w:spacing w:line="360" w:lineRule="auto"/>
        <w:jc w:val="center"/>
        <w:rPr>
          <w:rFonts w:ascii="Times New Roman" w:hAnsi="Times New Roman" w:cs="Times New Roman"/>
          <w:b/>
          <w:bCs/>
          <w:sz w:val="28"/>
          <w:szCs w:val="26"/>
        </w:rPr>
      </w:pPr>
    </w:p>
    <w:p w:rsidR="008B166C" w:rsidRDefault="008B166C" w:rsidP="008B166C">
      <w:pPr>
        <w:spacing w:line="360" w:lineRule="auto"/>
        <w:jc w:val="center"/>
        <w:rPr>
          <w:rFonts w:ascii="Times New Roman" w:hAnsi="Times New Roman" w:cs="Times New Roman"/>
          <w:b/>
          <w:bCs/>
          <w:sz w:val="28"/>
          <w:szCs w:val="26"/>
        </w:rPr>
      </w:pPr>
    </w:p>
    <w:p w:rsidR="008B166C" w:rsidRDefault="008B166C" w:rsidP="008B166C">
      <w:pPr>
        <w:spacing w:line="360" w:lineRule="auto"/>
        <w:jc w:val="center"/>
        <w:rPr>
          <w:rFonts w:ascii="Times New Roman" w:hAnsi="Times New Roman" w:cs="Times New Roman"/>
          <w:b/>
          <w:bCs/>
          <w:sz w:val="28"/>
          <w:szCs w:val="26"/>
        </w:rPr>
      </w:pPr>
    </w:p>
    <w:p w:rsidR="008B166C" w:rsidRPr="00440B48" w:rsidRDefault="008B166C" w:rsidP="008B166C">
      <w:pPr>
        <w:spacing w:line="360" w:lineRule="auto"/>
        <w:jc w:val="center"/>
        <w:rPr>
          <w:rFonts w:ascii="Times New Roman" w:hAnsi="Times New Roman" w:cs="Times New Roman"/>
          <w:b/>
          <w:bCs/>
          <w:sz w:val="28"/>
          <w:szCs w:val="26"/>
        </w:rPr>
      </w:pPr>
      <w:r w:rsidRPr="00440B48">
        <w:rPr>
          <w:rFonts w:ascii="Times New Roman" w:hAnsi="Times New Roman" w:cs="Times New Roman"/>
          <w:b/>
          <w:bCs/>
          <w:sz w:val="28"/>
          <w:szCs w:val="26"/>
        </w:rPr>
        <w:t>CHAPTER THREE</w:t>
      </w:r>
    </w:p>
    <w:p w:rsidR="008B166C" w:rsidRPr="00440B48" w:rsidRDefault="008B166C" w:rsidP="008B166C">
      <w:pPr>
        <w:spacing w:line="360" w:lineRule="auto"/>
        <w:jc w:val="center"/>
        <w:rPr>
          <w:rFonts w:ascii="Times New Roman" w:hAnsi="Times New Roman" w:cs="Times New Roman"/>
          <w:sz w:val="28"/>
          <w:szCs w:val="26"/>
        </w:rPr>
      </w:pPr>
      <w:r w:rsidRPr="00440B48">
        <w:rPr>
          <w:rFonts w:ascii="Times New Roman" w:hAnsi="Times New Roman" w:cs="Times New Roman"/>
          <w:b/>
          <w:bCs/>
          <w:sz w:val="28"/>
          <w:szCs w:val="26"/>
        </w:rPr>
        <w:t>RESEARCH METHODOLOGY</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Introduction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This chapter presents the methodological framework adopted for investigating the knowledge and availability of e-learning facilities for effective teaching and learning </w:t>
      </w:r>
      <w:r w:rsidRPr="00440B48">
        <w:rPr>
          <w:rFonts w:ascii="Times New Roman" w:hAnsi="Times New Roman" w:cs="Times New Roman"/>
          <w:sz w:val="28"/>
          <w:szCs w:val="26"/>
        </w:rPr>
        <w:lastRenderedPageBreak/>
        <w:t>of chemistry in selected secondary schools in Ilorin, Nigeria. The study employs a quantitative research approach to systematically examine the accessibility, utilization patterns, and challenges associated with e-learning resources in chemistry education. The methodology encompasses research design, study population, sampling strategy, instrumentation, validity and reliability measures, data collection procedures, and analytical techniques. This structured approach ensures the collection of robust empirical data that can provide meaningful insights into the research problem.</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Research Design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study utilizes a </w:t>
      </w:r>
      <w:r w:rsidRPr="00440B48">
        <w:rPr>
          <w:rFonts w:ascii="Times New Roman" w:hAnsi="Times New Roman" w:cs="Times New Roman"/>
          <w:b/>
          <w:bCs/>
          <w:sz w:val="28"/>
          <w:szCs w:val="26"/>
        </w:rPr>
        <w:t>descriptive survey research design</w:t>
      </w:r>
      <w:r w:rsidRPr="00440B48">
        <w:rPr>
          <w:rFonts w:ascii="Times New Roman" w:hAnsi="Times New Roman" w:cs="Times New Roman"/>
          <w:sz w:val="28"/>
          <w:szCs w:val="26"/>
        </w:rPr>
        <w:t>, which is particularly suitable for gathering quantifiable data about prevailing conditions, practices, and attitudes (Creswell, 2014). This design enables the researcher to collect standardized information from a sample population through structured questionnaires, facilitating the systematic analysis of variables related to e-learning adoption in chemistry education. The choice of this design is justified by its effectiveness in measuring current realities without manipulating variables, thereby providing an accurate snapshot of the e-learning landscape in secondary school chemistry instruction.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Population of the Study</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target population comprises all chemistry teachers and senior secondary school students (SS1-SS3) in Ilorin, Kwara State. The study focuses specifically on five secondary schools selected through stratified sampling to ensure representation of both public and private educational institutions.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Sample and Sampling Techniques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A </w:t>
      </w:r>
      <w:r w:rsidRPr="00440B48">
        <w:rPr>
          <w:rFonts w:ascii="Times New Roman" w:hAnsi="Times New Roman" w:cs="Times New Roman"/>
          <w:b/>
          <w:bCs/>
          <w:sz w:val="28"/>
          <w:szCs w:val="26"/>
        </w:rPr>
        <w:t>stratified random sampling technique</w:t>
      </w:r>
      <w:r w:rsidRPr="00440B48">
        <w:rPr>
          <w:rFonts w:ascii="Times New Roman" w:hAnsi="Times New Roman" w:cs="Times New Roman"/>
          <w:sz w:val="28"/>
          <w:szCs w:val="26"/>
        </w:rPr>
        <w:t xml:space="preserve"> was employed to select five secondary schools (three public and two private) from different zones within Ilorin. This approach ensures balanced representation across school types and geographical distribution. From each selected school, 20 respondents (20 chemistry teachers, 80 students) were randomly chosen, resulting in a total sample size of 100 respondents </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lastRenderedPageBreak/>
        <w:t>Research Instrument</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primary data collection instrument was a </w:t>
      </w:r>
      <w:r w:rsidRPr="00440B48">
        <w:rPr>
          <w:rFonts w:ascii="Times New Roman" w:hAnsi="Times New Roman" w:cs="Times New Roman"/>
          <w:b/>
          <w:bCs/>
          <w:sz w:val="28"/>
          <w:szCs w:val="26"/>
        </w:rPr>
        <w:t>structured questionnaire</w:t>
      </w:r>
      <w:r w:rsidRPr="00440B48">
        <w:rPr>
          <w:rFonts w:ascii="Times New Roman" w:hAnsi="Times New Roman" w:cs="Times New Roman"/>
          <w:sz w:val="28"/>
          <w:szCs w:val="26"/>
        </w:rPr>
        <w:t> designed with three distinct sections:</w:t>
      </w:r>
    </w:p>
    <w:p w:rsidR="008B166C" w:rsidRPr="00440B48" w:rsidRDefault="008B166C" w:rsidP="008B166C">
      <w:pPr>
        <w:numPr>
          <w:ilvl w:val="0"/>
          <w:numId w:val="7"/>
        </w:numPr>
        <w:spacing w:after="200"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Section A:</w:t>
      </w:r>
      <w:r w:rsidRPr="00440B48">
        <w:rPr>
          <w:rFonts w:ascii="Times New Roman" w:hAnsi="Times New Roman" w:cs="Times New Roman"/>
          <w:sz w:val="28"/>
          <w:szCs w:val="26"/>
        </w:rPr>
        <w:t> Demographic information (school type, teaching experience, Age)</w:t>
      </w:r>
    </w:p>
    <w:p w:rsidR="008B166C" w:rsidRPr="00440B48" w:rsidRDefault="008B166C" w:rsidP="008B166C">
      <w:pPr>
        <w:numPr>
          <w:ilvl w:val="0"/>
          <w:numId w:val="7"/>
        </w:numPr>
        <w:spacing w:after="200"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Section B:</w:t>
      </w:r>
      <w:r w:rsidRPr="00440B48">
        <w:rPr>
          <w:rFonts w:ascii="Times New Roman" w:hAnsi="Times New Roman" w:cs="Times New Roman"/>
          <w:sz w:val="28"/>
          <w:szCs w:val="26"/>
        </w:rPr>
        <w:t> Availability and accessibility of e-learning facilities</w:t>
      </w:r>
    </w:p>
    <w:p w:rsidR="008B166C" w:rsidRPr="00440B48" w:rsidRDefault="008B166C" w:rsidP="008B166C">
      <w:pPr>
        <w:numPr>
          <w:ilvl w:val="0"/>
          <w:numId w:val="7"/>
        </w:numPr>
        <w:spacing w:after="200"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Section C:</w:t>
      </w:r>
      <w:r w:rsidRPr="00440B48">
        <w:rPr>
          <w:rFonts w:ascii="Times New Roman" w:hAnsi="Times New Roman" w:cs="Times New Roman"/>
          <w:sz w:val="28"/>
          <w:szCs w:val="26"/>
        </w:rPr>
        <w:t> Knowledge, utilization, and perceived effectiveness of e-learning tools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questionnaire employed a </w:t>
      </w:r>
      <w:r w:rsidRPr="00440B48">
        <w:rPr>
          <w:rFonts w:ascii="Times New Roman" w:hAnsi="Times New Roman" w:cs="Times New Roman"/>
          <w:b/>
          <w:bCs/>
          <w:sz w:val="28"/>
          <w:szCs w:val="26"/>
        </w:rPr>
        <w:t>5-point Likert scale</w:t>
      </w:r>
      <w:r w:rsidRPr="00440B48">
        <w:rPr>
          <w:rFonts w:ascii="Times New Roman" w:hAnsi="Times New Roman" w:cs="Times New Roman"/>
          <w:sz w:val="28"/>
          <w:szCs w:val="26"/>
        </w:rPr>
        <w:t> (Strongly Agree=5 to Strongly Disagree=1) to measure respondents' perceptions and experiences. The instrument was developed based on extensive literature review and adapted from validated instruments used in similar studies (Adeoye et al., 2021).</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Validity of the Study</w:t>
      </w:r>
    </w:p>
    <w:p w:rsidR="008B166C" w:rsidRPr="00440B48" w:rsidRDefault="008B166C" w:rsidP="008B166C">
      <w:pPr>
        <w:spacing w:line="360" w:lineRule="auto"/>
        <w:ind w:firstLine="720"/>
        <w:jc w:val="both"/>
        <w:rPr>
          <w:rFonts w:ascii="Times New Roman" w:hAnsi="Times New Roman" w:cs="Times New Roman"/>
          <w:sz w:val="28"/>
          <w:szCs w:val="26"/>
        </w:rPr>
      </w:pPr>
      <w:r w:rsidRPr="00440B48">
        <w:rPr>
          <w:rFonts w:ascii="Times New Roman" w:hAnsi="Times New Roman" w:cs="Times New Roman"/>
          <w:sz w:val="28"/>
          <w:szCs w:val="26"/>
        </w:rPr>
        <w:t>To ensure the validity of the research instrument, the Questionnaire was reviewed by </w:t>
      </w:r>
      <w:r w:rsidRPr="00440B48">
        <w:rPr>
          <w:rFonts w:ascii="Times New Roman" w:hAnsi="Times New Roman" w:cs="Times New Roman"/>
          <w:b/>
          <w:bCs/>
          <w:sz w:val="28"/>
          <w:szCs w:val="26"/>
        </w:rPr>
        <w:t>two lecturers</w:t>
      </w:r>
      <w:r w:rsidRPr="00440B48">
        <w:rPr>
          <w:rFonts w:ascii="Times New Roman" w:hAnsi="Times New Roman" w:cs="Times New Roman"/>
          <w:sz w:val="28"/>
          <w:szCs w:val="26"/>
        </w:rPr>
        <w:t> in Kwara State College of Education, Ilorin. Their feedback was used to refine the questions, ensuring they align with the research objectives and eliminate ambiguities.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Reliability of the Instrument</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A </w:t>
      </w:r>
      <w:r w:rsidRPr="00440B48">
        <w:rPr>
          <w:rFonts w:ascii="Times New Roman" w:hAnsi="Times New Roman" w:cs="Times New Roman"/>
          <w:bCs/>
          <w:sz w:val="28"/>
          <w:szCs w:val="26"/>
        </w:rPr>
        <w:t>pilot study</w:t>
      </w:r>
      <w:r w:rsidRPr="00440B48">
        <w:rPr>
          <w:rFonts w:ascii="Times New Roman" w:hAnsi="Times New Roman" w:cs="Times New Roman"/>
          <w:sz w:val="28"/>
          <w:szCs w:val="26"/>
        </w:rPr>
        <w:t> was conducted in two schools (one public and one private) not included in the main study. </w:t>
      </w:r>
      <w:r w:rsidRPr="00440B48">
        <w:rPr>
          <w:rFonts w:ascii="Times New Roman" w:hAnsi="Times New Roman" w:cs="Times New Roman"/>
          <w:bCs/>
          <w:sz w:val="28"/>
          <w:szCs w:val="26"/>
        </w:rPr>
        <w:t>Cronbach’s Alpha</w:t>
      </w:r>
      <w:r w:rsidRPr="00440B48">
        <w:rPr>
          <w:rFonts w:ascii="Times New Roman" w:hAnsi="Times New Roman" w:cs="Times New Roman"/>
          <w:sz w:val="28"/>
          <w:szCs w:val="26"/>
        </w:rPr>
        <w:t> was used to test internal consistency, yielding a reliability coefficient of </w:t>
      </w:r>
      <w:r w:rsidRPr="00440B48">
        <w:rPr>
          <w:rFonts w:ascii="Times New Roman" w:hAnsi="Times New Roman" w:cs="Times New Roman"/>
          <w:bCs/>
          <w:sz w:val="28"/>
          <w:szCs w:val="26"/>
        </w:rPr>
        <w:t>0.82</w:t>
      </w:r>
      <w:r w:rsidRPr="00440B48">
        <w:rPr>
          <w:rFonts w:ascii="Times New Roman" w:hAnsi="Times New Roman" w:cs="Times New Roman"/>
          <w:sz w:val="28"/>
          <w:szCs w:val="26"/>
        </w:rPr>
        <w:t>, indicating high reliability.</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Method of Data Collection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Data collection followed a standardized protocol to ensure consistency, trained research assistants administered the questionnaires in person to participating teachers. The data collection process emphasized voluntary participation and confidentiality assurances. Researchers will collect completed questionnaires within </w:t>
      </w:r>
      <w:r w:rsidRPr="00440B48">
        <w:rPr>
          <w:rFonts w:ascii="Times New Roman" w:hAnsi="Times New Roman" w:cs="Times New Roman"/>
          <w:sz w:val="28"/>
          <w:szCs w:val="26"/>
        </w:rPr>
        <w:lastRenderedPageBreak/>
        <w:t>48 hours of distribution. This high response rate enhances the study's reliability and reduces potential non response bias.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Method of Data Analysis</w:t>
      </w:r>
    </w:p>
    <w:p w:rsidR="008B166C" w:rsidRPr="00440B48" w:rsidRDefault="008B166C" w:rsidP="008B166C">
      <w:pPr>
        <w:tabs>
          <w:tab w:val="num" w:pos="720"/>
        </w:tabs>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Collected data was analyzed using descriptive statistics: </w:t>
      </w:r>
      <w:r w:rsidRPr="00440B48">
        <w:rPr>
          <w:rFonts w:ascii="Times New Roman" w:hAnsi="Times New Roman" w:cs="Times New Roman"/>
          <w:b/>
          <w:bCs/>
          <w:sz w:val="28"/>
          <w:szCs w:val="26"/>
        </w:rPr>
        <w:t>Frequency Counts:</w:t>
      </w:r>
      <w:r w:rsidRPr="00440B48">
        <w:rPr>
          <w:rFonts w:ascii="Times New Roman" w:hAnsi="Times New Roman" w:cs="Times New Roman"/>
          <w:sz w:val="28"/>
          <w:szCs w:val="26"/>
        </w:rPr>
        <w:t xml:space="preserve"> Tabulation of response frequencies for each item. </w:t>
      </w:r>
      <w:r w:rsidRPr="00440B48">
        <w:rPr>
          <w:rFonts w:ascii="Times New Roman" w:hAnsi="Times New Roman" w:cs="Times New Roman"/>
          <w:b/>
          <w:bCs/>
          <w:sz w:val="28"/>
          <w:szCs w:val="26"/>
        </w:rPr>
        <w:t>Average Weighted Responses (AWR):</w:t>
      </w:r>
      <w:r w:rsidRPr="00440B48">
        <w:rPr>
          <w:rFonts w:ascii="Times New Roman" w:hAnsi="Times New Roman" w:cs="Times New Roman"/>
          <w:sz w:val="28"/>
          <w:szCs w:val="26"/>
        </w:rPr>
        <w:t xml:space="preserve"> Calculation of overall perception scores. </w:t>
      </w: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Default="008B166C" w:rsidP="008B166C">
      <w:pPr>
        <w:spacing w:before="274" w:after="206" w:line="360" w:lineRule="auto"/>
        <w:jc w:val="center"/>
        <w:outlineLvl w:val="2"/>
        <w:rPr>
          <w:rFonts w:ascii="Times New Roman" w:eastAsia="Times New Roman" w:hAnsi="Times New Roman" w:cs="Times New Roman"/>
          <w:b/>
          <w:color w:val="404040"/>
          <w:sz w:val="28"/>
          <w:szCs w:val="26"/>
        </w:rPr>
      </w:pPr>
    </w:p>
    <w:p w:rsidR="008B166C" w:rsidRPr="00440B48" w:rsidRDefault="008B166C" w:rsidP="008B166C">
      <w:pPr>
        <w:spacing w:before="274" w:after="206" w:line="360" w:lineRule="auto"/>
        <w:jc w:val="center"/>
        <w:outlineLvl w:val="2"/>
        <w:rPr>
          <w:rFonts w:ascii="Times New Roman" w:eastAsia="Times New Roman" w:hAnsi="Times New Roman" w:cs="Times New Roman"/>
          <w:b/>
          <w:color w:val="404040"/>
          <w:sz w:val="28"/>
          <w:szCs w:val="26"/>
        </w:rPr>
      </w:pPr>
      <w:r w:rsidRPr="00440B48">
        <w:rPr>
          <w:rFonts w:ascii="Times New Roman" w:eastAsia="Times New Roman" w:hAnsi="Times New Roman" w:cs="Times New Roman"/>
          <w:b/>
          <w:color w:val="404040"/>
          <w:sz w:val="28"/>
          <w:szCs w:val="26"/>
        </w:rPr>
        <w:t>CHAPTER FOUR</w:t>
      </w:r>
    </w:p>
    <w:p w:rsidR="008B166C" w:rsidRPr="00440B48" w:rsidRDefault="008B166C" w:rsidP="008B166C">
      <w:pPr>
        <w:spacing w:before="274" w:after="206" w:line="360" w:lineRule="auto"/>
        <w:jc w:val="center"/>
        <w:outlineLvl w:val="2"/>
        <w:rPr>
          <w:rFonts w:ascii="Times New Roman" w:eastAsia="Times New Roman" w:hAnsi="Times New Roman" w:cs="Times New Roman"/>
          <w:b/>
          <w:color w:val="404040"/>
          <w:sz w:val="28"/>
          <w:szCs w:val="26"/>
        </w:rPr>
      </w:pPr>
      <w:r w:rsidRPr="00440B48">
        <w:rPr>
          <w:rFonts w:ascii="Times New Roman" w:eastAsia="Times New Roman" w:hAnsi="Times New Roman" w:cs="Times New Roman"/>
          <w:b/>
          <w:color w:val="404040"/>
          <w:sz w:val="28"/>
          <w:szCs w:val="26"/>
        </w:rPr>
        <w:t>DATA ANALYSIS AND RESULTS</w:t>
      </w:r>
    </w:p>
    <w:p w:rsidR="008B166C" w:rsidRPr="00440B48" w:rsidRDefault="008B166C" w:rsidP="008B166C">
      <w:pPr>
        <w:spacing w:before="274" w:after="206" w:line="360" w:lineRule="auto"/>
        <w:jc w:val="both"/>
        <w:outlineLvl w:val="3"/>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4.1 Biodata Analysis (Frequency &amp; Percentage)</w:t>
      </w:r>
    </w:p>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Table 1: Distribution by School Type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04"/>
        <w:gridCol w:w="3082"/>
        <w:gridCol w:w="3174"/>
      </w:tblGrid>
      <w:tr w:rsidR="008B166C" w:rsidRPr="00440B48" w:rsidTr="002974D3">
        <w:trPr>
          <w:tblHeader/>
          <w:jc w:val="center"/>
        </w:trPr>
        <w:tc>
          <w:tcPr>
            <w:tcW w:w="1795"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School Type</w:t>
            </w:r>
          </w:p>
        </w:tc>
        <w:tc>
          <w:tcPr>
            <w:tcW w:w="1579"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Frequency</w:t>
            </w:r>
          </w:p>
        </w:tc>
        <w:tc>
          <w:tcPr>
            <w:tcW w:w="1626"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Percentage</w:t>
            </w:r>
          </w:p>
        </w:tc>
      </w:tr>
      <w:tr w:rsidR="008B166C" w:rsidRPr="00440B48" w:rsidTr="002974D3">
        <w:trPr>
          <w:jc w:val="center"/>
        </w:trPr>
        <w:tc>
          <w:tcPr>
            <w:tcW w:w="1795"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Public School</w:t>
            </w:r>
          </w:p>
        </w:tc>
        <w:tc>
          <w:tcPr>
            <w:tcW w:w="1579"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60</w:t>
            </w:r>
          </w:p>
        </w:tc>
        <w:tc>
          <w:tcPr>
            <w:tcW w:w="1626"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60%</w:t>
            </w:r>
          </w:p>
        </w:tc>
      </w:tr>
      <w:tr w:rsidR="008B166C" w:rsidRPr="00440B48" w:rsidTr="002974D3">
        <w:trPr>
          <w:jc w:val="center"/>
        </w:trPr>
        <w:tc>
          <w:tcPr>
            <w:tcW w:w="1795"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Private School</w:t>
            </w:r>
          </w:p>
        </w:tc>
        <w:tc>
          <w:tcPr>
            <w:tcW w:w="1579"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40</w:t>
            </w:r>
          </w:p>
        </w:tc>
        <w:tc>
          <w:tcPr>
            <w:tcW w:w="1626"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40%</w:t>
            </w:r>
          </w:p>
        </w:tc>
      </w:tr>
    </w:tbl>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Interpretation:</w:t>
      </w:r>
      <w:r w:rsidRPr="00440B48">
        <w:rPr>
          <w:rFonts w:ascii="Times New Roman" w:eastAsia="Times New Roman" w:hAnsi="Times New Roman" w:cs="Times New Roman"/>
          <w:color w:val="404040"/>
          <w:sz w:val="28"/>
          <w:szCs w:val="26"/>
        </w:rPr>
        <w:br/>
        <w:t xml:space="preserve">The sample composition reflects the actual distribution of schools in Ilorin West </w:t>
      </w:r>
      <w:r w:rsidRPr="00440B48">
        <w:rPr>
          <w:rFonts w:ascii="Times New Roman" w:eastAsia="Times New Roman" w:hAnsi="Times New Roman" w:cs="Times New Roman"/>
          <w:color w:val="404040"/>
          <w:sz w:val="28"/>
          <w:szCs w:val="26"/>
        </w:rPr>
        <w:lastRenderedPageBreak/>
        <w:t>LGA, where public schools dominate the educational landscape. This 60:40 ratio ensures findings are representative of the region's school demographics while allowing for meaningful comparisons between public and private institutions regarding e-learning implementation.</w:t>
      </w:r>
    </w:p>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Table 2: Distribution by Role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17"/>
        <w:gridCol w:w="3619"/>
        <w:gridCol w:w="3724"/>
      </w:tblGrid>
      <w:tr w:rsidR="008B166C" w:rsidRPr="00440B48" w:rsidTr="002974D3">
        <w:trPr>
          <w:tblHeader/>
          <w:jc w:val="center"/>
        </w:trPr>
        <w:tc>
          <w:tcPr>
            <w:tcW w:w="1238"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Role</w:t>
            </w:r>
          </w:p>
        </w:tc>
        <w:tc>
          <w:tcPr>
            <w:tcW w:w="1854"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Frequency</w:t>
            </w:r>
          </w:p>
        </w:tc>
        <w:tc>
          <w:tcPr>
            <w:tcW w:w="1908"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Percentage</w:t>
            </w:r>
          </w:p>
        </w:tc>
      </w:tr>
      <w:tr w:rsidR="008B166C" w:rsidRPr="00440B48" w:rsidTr="002974D3">
        <w:trPr>
          <w:jc w:val="center"/>
        </w:trPr>
        <w:tc>
          <w:tcPr>
            <w:tcW w:w="1238"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Teacher</w:t>
            </w:r>
          </w:p>
        </w:tc>
        <w:tc>
          <w:tcPr>
            <w:tcW w:w="1854"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20</w:t>
            </w:r>
          </w:p>
        </w:tc>
        <w:tc>
          <w:tcPr>
            <w:tcW w:w="1908"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20%</w:t>
            </w:r>
          </w:p>
        </w:tc>
      </w:tr>
      <w:tr w:rsidR="008B166C" w:rsidRPr="00440B48" w:rsidTr="002974D3">
        <w:trPr>
          <w:jc w:val="center"/>
        </w:trPr>
        <w:tc>
          <w:tcPr>
            <w:tcW w:w="1238"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Student</w:t>
            </w:r>
          </w:p>
        </w:tc>
        <w:tc>
          <w:tcPr>
            <w:tcW w:w="1854"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80</w:t>
            </w:r>
          </w:p>
        </w:tc>
        <w:tc>
          <w:tcPr>
            <w:tcW w:w="1908"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80%</w:t>
            </w:r>
          </w:p>
        </w:tc>
      </w:tr>
    </w:tbl>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Interpretation:</w:t>
      </w:r>
      <w:r w:rsidRPr="00440B48">
        <w:rPr>
          <w:rFonts w:ascii="Times New Roman" w:eastAsia="Times New Roman" w:hAnsi="Times New Roman" w:cs="Times New Roman"/>
          <w:color w:val="404040"/>
          <w:sz w:val="28"/>
          <w:szCs w:val="26"/>
        </w:rPr>
        <w:br/>
        <w:t>20 (20%) of respondents were teachers and 80(80%) were students. Teacher responses reflect institutional capabilities and training needs, while student responses reveal actual usage experiences and accessibility challenges in chemistry education.</w:t>
      </w:r>
    </w:p>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Table 3: Teaching Experience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49"/>
        <w:gridCol w:w="3801"/>
        <w:gridCol w:w="3910"/>
      </w:tblGrid>
      <w:tr w:rsidR="008B166C" w:rsidRPr="00440B48" w:rsidTr="002974D3">
        <w:trPr>
          <w:tblHeader/>
          <w:jc w:val="center"/>
        </w:trPr>
        <w:tc>
          <w:tcPr>
            <w:tcW w:w="1050"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Years</w:t>
            </w:r>
          </w:p>
        </w:tc>
        <w:tc>
          <w:tcPr>
            <w:tcW w:w="1947"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Frequency</w:t>
            </w:r>
          </w:p>
        </w:tc>
        <w:tc>
          <w:tcPr>
            <w:tcW w:w="20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Percentage</w:t>
            </w:r>
          </w:p>
        </w:tc>
      </w:tr>
      <w:tr w:rsidR="008B166C" w:rsidRPr="00440B48" w:rsidTr="002974D3">
        <w:trPr>
          <w:jc w:val="center"/>
        </w:trPr>
        <w:tc>
          <w:tcPr>
            <w:tcW w:w="1050"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1-5</w:t>
            </w:r>
          </w:p>
        </w:tc>
        <w:tc>
          <w:tcPr>
            <w:tcW w:w="1947"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8</w:t>
            </w:r>
          </w:p>
        </w:tc>
        <w:tc>
          <w:tcPr>
            <w:tcW w:w="20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3.2%</w:t>
            </w:r>
          </w:p>
        </w:tc>
      </w:tr>
      <w:tr w:rsidR="008B166C" w:rsidRPr="00440B48" w:rsidTr="002974D3">
        <w:trPr>
          <w:jc w:val="center"/>
        </w:trPr>
        <w:tc>
          <w:tcPr>
            <w:tcW w:w="1050"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6-10</w:t>
            </w:r>
          </w:p>
        </w:tc>
        <w:tc>
          <w:tcPr>
            <w:tcW w:w="1947"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8</w:t>
            </w:r>
          </w:p>
        </w:tc>
        <w:tc>
          <w:tcPr>
            <w:tcW w:w="20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3.2%</w:t>
            </w:r>
          </w:p>
        </w:tc>
      </w:tr>
      <w:tr w:rsidR="008B166C" w:rsidRPr="00440B48" w:rsidTr="002974D3">
        <w:trPr>
          <w:jc w:val="center"/>
        </w:trPr>
        <w:tc>
          <w:tcPr>
            <w:tcW w:w="1050"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11+</w:t>
            </w:r>
          </w:p>
        </w:tc>
        <w:tc>
          <w:tcPr>
            <w:tcW w:w="1947"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w:t>
            </w:r>
          </w:p>
        </w:tc>
        <w:tc>
          <w:tcPr>
            <w:tcW w:w="20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1.6%</w:t>
            </w:r>
          </w:p>
        </w:tc>
      </w:tr>
    </w:tbl>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Interpretation:</w:t>
      </w:r>
      <w:r w:rsidRPr="00440B48">
        <w:rPr>
          <w:rFonts w:ascii="Times New Roman" w:eastAsia="Times New Roman" w:hAnsi="Times New Roman" w:cs="Times New Roman"/>
          <w:color w:val="404040"/>
          <w:sz w:val="28"/>
          <w:szCs w:val="26"/>
        </w:rPr>
        <w:br/>
        <w:t>The experience profile shows 3.2% of teachers have ≤10 years' experience, suggesting a workforce that may be more receptive to technology integration but potentially lacking senior mentors with technology implementation experience. This distribution impacts e-learning adoption strategies.</w:t>
      </w:r>
    </w:p>
    <w:p w:rsidR="008B166C" w:rsidRPr="00440B48" w:rsidRDefault="008B166C" w:rsidP="008B166C">
      <w:pPr>
        <w:spacing w:before="274" w:after="206" w:line="360" w:lineRule="auto"/>
        <w:jc w:val="both"/>
        <w:outlineLvl w:val="3"/>
        <w:rPr>
          <w:rFonts w:ascii="Times New Roman" w:eastAsia="Times New Roman" w:hAnsi="Times New Roman" w:cs="Times New Roman"/>
          <w:b/>
          <w:color w:val="404040"/>
          <w:sz w:val="28"/>
          <w:szCs w:val="26"/>
        </w:rPr>
      </w:pPr>
      <w:r w:rsidRPr="00440B48">
        <w:rPr>
          <w:rFonts w:ascii="Times New Roman" w:eastAsia="Times New Roman" w:hAnsi="Times New Roman" w:cs="Times New Roman"/>
          <w:b/>
          <w:color w:val="404040"/>
          <w:sz w:val="28"/>
          <w:szCs w:val="26"/>
        </w:rPr>
        <w:lastRenderedPageBreak/>
        <w:t>4.2 Research Question Analysis (Average Weighted Responses)</w:t>
      </w:r>
    </w:p>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Table 4: Knowledge and Awareness of E-Learning</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158"/>
        <w:gridCol w:w="985"/>
        <w:gridCol w:w="827"/>
        <w:gridCol w:w="827"/>
        <w:gridCol w:w="981"/>
        <w:gridCol w:w="982"/>
      </w:tblGrid>
      <w:tr w:rsidR="008B166C" w:rsidRPr="00440B48" w:rsidTr="002974D3">
        <w:trPr>
          <w:tblHeader/>
          <w:jc w:val="center"/>
        </w:trPr>
        <w:tc>
          <w:tcPr>
            <w:tcW w:w="264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Item</w:t>
            </w:r>
          </w:p>
        </w:tc>
        <w:tc>
          <w:tcPr>
            <w:tcW w:w="50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SA(4)</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A(3)</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D(2)</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SD(1)</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AWR</w:t>
            </w:r>
          </w:p>
        </w:tc>
      </w:tr>
      <w:tr w:rsidR="008B166C" w:rsidRPr="00440B48" w:rsidTr="002974D3">
        <w:trPr>
          <w:jc w:val="center"/>
        </w:trPr>
        <w:tc>
          <w:tcPr>
            <w:tcW w:w="264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I am aware of various e-learning tools</w:t>
            </w:r>
          </w:p>
        </w:tc>
        <w:tc>
          <w:tcPr>
            <w:tcW w:w="50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30</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45</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20</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3.0</w:t>
            </w:r>
          </w:p>
        </w:tc>
      </w:tr>
      <w:tr w:rsidR="008B166C" w:rsidRPr="00440B48" w:rsidTr="002974D3">
        <w:trPr>
          <w:jc w:val="center"/>
        </w:trPr>
        <w:tc>
          <w:tcPr>
            <w:tcW w:w="264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I understand how to use e-learning platforms</w:t>
            </w:r>
          </w:p>
        </w:tc>
        <w:tc>
          <w:tcPr>
            <w:tcW w:w="50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25</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40</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25</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10</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2.8</w:t>
            </w:r>
          </w:p>
        </w:tc>
      </w:tr>
      <w:tr w:rsidR="008B166C" w:rsidRPr="00440B48" w:rsidTr="002974D3">
        <w:trPr>
          <w:jc w:val="center"/>
        </w:trPr>
        <w:tc>
          <w:tcPr>
            <w:tcW w:w="264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My school provides training</w:t>
            </w:r>
          </w:p>
        </w:tc>
        <w:tc>
          <w:tcPr>
            <w:tcW w:w="50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15</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30</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35</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20</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2.4</w:t>
            </w:r>
          </w:p>
        </w:tc>
      </w:tr>
      <w:tr w:rsidR="008B166C" w:rsidRPr="00440B48" w:rsidTr="002974D3">
        <w:trPr>
          <w:jc w:val="center"/>
        </w:trPr>
        <w:tc>
          <w:tcPr>
            <w:tcW w:w="264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E-learning improves understanding</w:t>
            </w:r>
          </w:p>
        </w:tc>
        <w:tc>
          <w:tcPr>
            <w:tcW w:w="50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40</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45</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10</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w:t>
            </w:r>
          </w:p>
        </w:tc>
        <w:tc>
          <w:tcPr>
            <w:tcW w:w="503"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3.2</w:t>
            </w:r>
          </w:p>
        </w:tc>
      </w:tr>
    </w:tbl>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Interpretation:</w:t>
      </w:r>
      <w:r w:rsidRPr="00440B48">
        <w:rPr>
          <w:rFonts w:ascii="Times New Roman" w:eastAsia="Times New Roman" w:hAnsi="Times New Roman" w:cs="Times New Roman"/>
          <w:color w:val="404040"/>
          <w:sz w:val="28"/>
          <w:szCs w:val="26"/>
        </w:rPr>
        <w:br/>
        <w:t>The data reveals a concerning awareness-practice gap. While respondents recognize e-learning's pedagogical value (AWR=3.2), practical knowledge lags behind (AWR=2.8). Most critically, training provision scores lowest (AWR=2.4), with 55% reporting inadequate professional development opportunities. This suggests schools are not equipping stakeholders with necessary skills despite recognizing e-learning's benefits.</w:t>
      </w:r>
    </w:p>
    <w:p w:rsidR="008B166C" w:rsidRPr="00440B48" w:rsidRDefault="008B166C" w:rsidP="008B166C">
      <w:pPr>
        <w:spacing w:before="206" w:after="206" w:line="360" w:lineRule="auto"/>
        <w:jc w:val="both"/>
        <w:rPr>
          <w:rFonts w:ascii="Times New Roman" w:eastAsia="Times New Roman" w:hAnsi="Times New Roman" w:cs="Times New Roman"/>
          <w:b/>
          <w:bCs/>
          <w:color w:val="404040"/>
          <w:sz w:val="28"/>
          <w:szCs w:val="26"/>
        </w:rPr>
      </w:pPr>
    </w:p>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Table 5: Availability and Accessibility</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154"/>
        <w:gridCol w:w="985"/>
        <w:gridCol w:w="827"/>
        <w:gridCol w:w="828"/>
        <w:gridCol w:w="984"/>
        <w:gridCol w:w="982"/>
      </w:tblGrid>
      <w:tr w:rsidR="008B166C" w:rsidRPr="00440B48" w:rsidTr="002974D3">
        <w:trPr>
          <w:tblHeader/>
          <w:jc w:val="center"/>
        </w:trPr>
        <w:tc>
          <w:tcPr>
            <w:tcW w:w="264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Item</w:t>
            </w:r>
          </w:p>
        </w:tc>
        <w:tc>
          <w:tcPr>
            <w:tcW w:w="504"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SA(4)</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A(3)</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D(2)</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SD(1)</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AWR</w:t>
            </w:r>
          </w:p>
        </w:tc>
      </w:tr>
      <w:tr w:rsidR="008B166C" w:rsidRPr="00440B48" w:rsidTr="002974D3">
        <w:trPr>
          <w:jc w:val="center"/>
        </w:trPr>
        <w:tc>
          <w:tcPr>
            <w:tcW w:w="264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My school has functional computers</w:t>
            </w:r>
          </w:p>
        </w:tc>
        <w:tc>
          <w:tcPr>
            <w:tcW w:w="504"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20</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35</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30</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15</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2.6</w:t>
            </w:r>
          </w:p>
        </w:tc>
      </w:tr>
      <w:tr w:rsidR="008B166C" w:rsidRPr="00440B48" w:rsidTr="002974D3">
        <w:trPr>
          <w:jc w:val="center"/>
        </w:trPr>
        <w:tc>
          <w:tcPr>
            <w:tcW w:w="264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Reliable internet access available</w:t>
            </w:r>
          </w:p>
        </w:tc>
        <w:tc>
          <w:tcPr>
            <w:tcW w:w="504"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10</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25</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40</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25</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2.2</w:t>
            </w:r>
          </w:p>
        </w:tc>
      </w:tr>
      <w:tr w:rsidR="008B166C" w:rsidRPr="00440B48" w:rsidTr="002974D3">
        <w:trPr>
          <w:jc w:val="center"/>
        </w:trPr>
        <w:tc>
          <w:tcPr>
            <w:tcW w:w="264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lastRenderedPageBreak/>
              <w:t>School subscribes to chemistry platforms</w:t>
            </w:r>
          </w:p>
        </w:tc>
        <w:tc>
          <w:tcPr>
            <w:tcW w:w="504"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15</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50</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30</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1.9</w:t>
            </w:r>
          </w:p>
        </w:tc>
      </w:tr>
      <w:tr w:rsidR="008B166C" w:rsidRPr="00440B48" w:rsidTr="002974D3">
        <w:trPr>
          <w:jc w:val="center"/>
        </w:trPr>
        <w:tc>
          <w:tcPr>
            <w:tcW w:w="264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Students can access resources outside school</w:t>
            </w:r>
          </w:p>
        </w:tc>
        <w:tc>
          <w:tcPr>
            <w:tcW w:w="504"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10</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20</w:t>
            </w:r>
          </w:p>
        </w:tc>
        <w:tc>
          <w:tcPr>
            <w:tcW w:w="42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45</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25</w:t>
            </w:r>
          </w:p>
        </w:tc>
        <w:tc>
          <w:tcPr>
            <w:tcW w:w="50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2.1</w:t>
            </w:r>
          </w:p>
        </w:tc>
      </w:tr>
    </w:tbl>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Interpretation:</w:t>
      </w:r>
      <w:r w:rsidRPr="00440B48">
        <w:rPr>
          <w:rFonts w:ascii="Times New Roman" w:eastAsia="Times New Roman" w:hAnsi="Times New Roman" w:cs="Times New Roman"/>
          <w:color w:val="404040"/>
          <w:sz w:val="28"/>
          <w:szCs w:val="26"/>
        </w:rPr>
        <w:br/>
        <w:t>The consistently low scores (AWR=1.9-2.6) paint a bleak picture of infrastructure readiness. The alarming 1.9 AWR for chemistry platform subscriptions indicates specialized tools are virtually absent. Internet reliability (AWR=2.2) and external access (AWR=2.1) scores confirm that even available resources are constrained by connectivity and accessibility barriers, particularly in public schools.</w:t>
      </w:r>
    </w:p>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Table 6: Challenges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31"/>
        <w:gridCol w:w="1096"/>
        <w:gridCol w:w="922"/>
        <w:gridCol w:w="921"/>
        <w:gridCol w:w="1095"/>
        <w:gridCol w:w="1095"/>
      </w:tblGrid>
      <w:tr w:rsidR="008B166C" w:rsidRPr="00440B48" w:rsidTr="002974D3">
        <w:trPr>
          <w:tblHeader/>
          <w:jc w:val="center"/>
        </w:trPr>
        <w:tc>
          <w:tcPr>
            <w:tcW w:w="2372"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Item</w:t>
            </w:r>
          </w:p>
        </w:tc>
        <w:tc>
          <w:tcPr>
            <w:tcW w:w="561"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SA(4)</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A(3)</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D(2)</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SD(1)</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AWR</w:t>
            </w:r>
          </w:p>
        </w:tc>
      </w:tr>
      <w:tr w:rsidR="008B166C" w:rsidRPr="00440B48" w:rsidTr="002974D3">
        <w:trPr>
          <w:jc w:val="center"/>
        </w:trPr>
        <w:tc>
          <w:tcPr>
            <w:tcW w:w="2372"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Poor electricity supply hinders use</w:t>
            </w:r>
          </w:p>
        </w:tc>
        <w:tc>
          <w:tcPr>
            <w:tcW w:w="561"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50</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30</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15</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3.3</w:t>
            </w:r>
          </w:p>
        </w:tc>
      </w:tr>
      <w:tr w:rsidR="008B166C" w:rsidRPr="00440B48" w:rsidTr="002974D3">
        <w:trPr>
          <w:jc w:val="center"/>
        </w:trPr>
        <w:tc>
          <w:tcPr>
            <w:tcW w:w="2372"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Teachers lack adequate training</w:t>
            </w:r>
          </w:p>
        </w:tc>
        <w:tc>
          <w:tcPr>
            <w:tcW w:w="561"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45</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35</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15</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3.2</w:t>
            </w:r>
          </w:p>
        </w:tc>
      </w:tr>
      <w:tr w:rsidR="008B166C" w:rsidRPr="00440B48" w:rsidTr="002974D3">
        <w:trPr>
          <w:jc w:val="center"/>
        </w:trPr>
        <w:tc>
          <w:tcPr>
            <w:tcW w:w="2372"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Students have limited device access</w:t>
            </w:r>
          </w:p>
        </w:tc>
        <w:tc>
          <w:tcPr>
            <w:tcW w:w="561"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40</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40</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15</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3.2</w:t>
            </w:r>
          </w:p>
        </w:tc>
      </w:tr>
      <w:tr w:rsidR="008B166C" w:rsidRPr="00440B48" w:rsidTr="002974D3">
        <w:trPr>
          <w:jc w:val="center"/>
        </w:trPr>
        <w:tc>
          <w:tcPr>
            <w:tcW w:w="2372"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Tools not aligned with curriculum</w:t>
            </w:r>
          </w:p>
        </w:tc>
        <w:tc>
          <w:tcPr>
            <w:tcW w:w="561"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35</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40</w:t>
            </w:r>
          </w:p>
        </w:tc>
        <w:tc>
          <w:tcPr>
            <w:tcW w:w="472"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20</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w:t>
            </w:r>
          </w:p>
        </w:tc>
        <w:tc>
          <w:tcPr>
            <w:tcW w:w="561"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3.1</w:t>
            </w:r>
          </w:p>
        </w:tc>
      </w:tr>
    </w:tbl>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Interpretation:</w:t>
      </w:r>
      <w:r w:rsidRPr="00440B48">
        <w:rPr>
          <w:rFonts w:ascii="Times New Roman" w:eastAsia="Times New Roman" w:hAnsi="Times New Roman" w:cs="Times New Roman"/>
          <w:color w:val="404040"/>
          <w:sz w:val="28"/>
          <w:szCs w:val="26"/>
        </w:rPr>
        <w:br/>
        <w:t>Three critical barriers emerge with near-identical high scores (AWR=3.1-3.3): unstable power supply (most severe at 3.3), teacher training gaps, and student device shortages. The curriculum alignment challenge (AWR=3.1), while slightly less pronounced, indicates many existing e-learning tools don't match local syllabus requirements, reducing their utility.</w:t>
      </w:r>
    </w:p>
    <w:p w:rsidR="008B166C" w:rsidRPr="00440B48" w:rsidRDefault="008B166C" w:rsidP="008B166C">
      <w:pPr>
        <w:spacing w:before="206"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Table 7: Improvement Strategies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72"/>
        <w:gridCol w:w="1088"/>
        <w:gridCol w:w="915"/>
        <w:gridCol w:w="915"/>
        <w:gridCol w:w="1087"/>
        <w:gridCol w:w="1083"/>
      </w:tblGrid>
      <w:tr w:rsidR="008B166C" w:rsidRPr="00440B48" w:rsidTr="002974D3">
        <w:trPr>
          <w:tblHeader/>
          <w:jc w:val="center"/>
        </w:trPr>
        <w:tc>
          <w:tcPr>
            <w:tcW w:w="239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lastRenderedPageBreak/>
              <w:t>Item</w:t>
            </w:r>
          </w:p>
        </w:tc>
        <w:tc>
          <w:tcPr>
            <w:tcW w:w="557"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SA(4)</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A(3)</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D(2)</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SD(1)</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AWR</w:t>
            </w:r>
          </w:p>
        </w:tc>
      </w:tr>
      <w:tr w:rsidR="008B166C" w:rsidRPr="00440B48" w:rsidTr="002974D3">
        <w:trPr>
          <w:jc w:val="center"/>
        </w:trPr>
        <w:tc>
          <w:tcPr>
            <w:tcW w:w="239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Regular teacher training needed</w:t>
            </w:r>
          </w:p>
        </w:tc>
        <w:tc>
          <w:tcPr>
            <w:tcW w:w="557"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55</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35</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8</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3.4</w:t>
            </w:r>
          </w:p>
        </w:tc>
      </w:tr>
      <w:tr w:rsidR="008B166C" w:rsidRPr="00440B48" w:rsidTr="002974D3">
        <w:trPr>
          <w:jc w:val="center"/>
        </w:trPr>
        <w:tc>
          <w:tcPr>
            <w:tcW w:w="239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Government should provide funding</w:t>
            </w:r>
          </w:p>
        </w:tc>
        <w:tc>
          <w:tcPr>
            <w:tcW w:w="557"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60</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30</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7</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3.5</w:t>
            </w:r>
          </w:p>
        </w:tc>
      </w:tr>
      <w:tr w:rsidR="008B166C" w:rsidRPr="00440B48" w:rsidTr="002974D3">
        <w:trPr>
          <w:jc w:val="center"/>
        </w:trPr>
        <w:tc>
          <w:tcPr>
            <w:tcW w:w="239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Adopt blended learning</w:t>
            </w:r>
          </w:p>
        </w:tc>
        <w:tc>
          <w:tcPr>
            <w:tcW w:w="557"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50</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40</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8</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3.4</w:t>
            </w:r>
          </w:p>
        </w:tc>
      </w:tr>
      <w:tr w:rsidR="008B166C" w:rsidRPr="00440B48" w:rsidTr="002974D3">
        <w:trPr>
          <w:jc w:val="center"/>
        </w:trPr>
        <w:tc>
          <w:tcPr>
            <w:tcW w:w="2393"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Mobile-friendly apps would help</w:t>
            </w:r>
          </w:p>
        </w:tc>
        <w:tc>
          <w:tcPr>
            <w:tcW w:w="557"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45</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45</w:t>
            </w:r>
          </w:p>
        </w:tc>
        <w:tc>
          <w:tcPr>
            <w:tcW w:w="469"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7</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w:t>
            </w:r>
          </w:p>
        </w:tc>
        <w:tc>
          <w:tcPr>
            <w:tcW w:w="557"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3.3</w:t>
            </w:r>
          </w:p>
        </w:tc>
      </w:tr>
    </w:tbl>
    <w:p w:rsidR="008B166C" w:rsidRPr="00440B48" w:rsidRDefault="008B166C" w:rsidP="008B166C">
      <w:pPr>
        <w:spacing w:before="206" w:after="100" w:afterAutospacing="1"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Interpretation:</w:t>
      </w:r>
      <w:r w:rsidRPr="00440B48">
        <w:rPr>
          <w:rFonts w:ascii="Times New Roman" w:eastAsia="Times New Roman" w:hAnsi="Times New Roman" w:cs="Times New Roman"/>
          <w:color w:val="404040"/>
          <w:sz w:val="28"/>
          <w:szCs w:val="26"/>
        </w:rPr>
        <w:br/>
        <w:t>Respondents overwhelmingly endorse all proposed solutions (AWR=3.3-3.5), with government funding being the top priority (AWR=3.5). The strong support for blended learning (AWR=3.4) suggests stakeholders prefer gradual technology integration rather than abrupt digital transitions. Mobile solutions (AWR=3.3) are recognized as practical alternatives to overcome infrastructure limitations.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DISCUSSION</w:t>
      </w:r>
      <w:r w:rsidRPr="00440B48">
        <w:rPr>
          <w:rFonts w:ascii="Times New Roman" w:hAnsi="Times New Roman" w:cs="Times New Roman"/>
          <w:sz w:val="28"/>
          <w:szCs w:val="26"/>
        </w:rPr>
        <w:br/>
        <w:t>These findings have important implications for educational policy and practice. First, they confirm that infrastructure deficiencies remain the primary barrier to e-learning adoption in Nigerian secondary schools. Without addressing fundamental issues like electricity and internet access, advanced digital tools will remain underutilized. Second, the strong awareness of e-learning's benefits coupled with low practical usage suggests that training programs should focus more on hands-on skills than theoretical knowledge. Third, the preference for blended learning models indicates that complete digital transformation may be unrealistic in the short term.</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The study also reveals equity concerns, as resource disparities between public and private schools could exacerbate existing educational inequalities. This underscores the need for targeted interventions in under-resourced institutions. Finally, the </w:t>
      </w:r>
      <w:r w:rsidRPr="00440B48">
        <w:rPr>
          <w:rFonts w:ascii="Times New Roman" w:hAnsi="Times New Roman" w:cs="Times New Roman"/>
          <w:sz w:val="28"/>
          <w:szCs w:val="26"/>
        </w:rPr>
        <w:lastRenderedPageBreak/>
        <w:t>emphasis on mobile-friendly solutions points to an opportunity for cost-effective, scalable interventions that can work within current infrastructure constraints.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While chemistry education in Ilorin West secondary schools stands to benefit significantly from e-learning integration, systemic barriers must first be addressed. A phased implementation approach focusing on infrastructure development, teacher training, and localized content creation would be most effective. These findings contribute to the growing body of research on educational technology in developing contexts and provide actionable insights for policymakers seeking to improve STEM education through digital tools. Future research should explore the effectiveness of specific intervention strategies in the Nigerian context. </w:t>
      </w: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Default="008B166C" w:rsidP="008B166C">
      <w:pPr>
        <w:spacing w:line="360" w:lineRule="auto"/>
        <w:jc w:val="center"/>
        <w:rPr>
          <w:rFonts w:ascii="Times New Roman" w:hAnsi="Times New Roman" w:cs="Times New Roman"/>
          <w:b/>
          <w:sz w:val="28"/>
          <w:szCs w:val="26"/>
        </w:rPr>
      </w:pPr>
    </w:p>
    <w:p w:rsidR="008B166C" w:rsidRPr="00440B48" w:rsidRDefault="008B166C" w:rsidP="008B166C">
      <w:pPr>
        <w:spacing w:line="360" w:lineRule="auto"/>
        <w:jc w:val="center"/>
        <w:rPr>
          <w:rFonts w:ascii="Times New Roman" w:hAnsi="Times New Roman" w:cs="Times New Roman"/>
          <w:b/>
          <w:sz w:val="28"/>
          <w:szCs w:val="26"/>
        </w:rPr>
      </w:pPr>
      <w:r w:rsidRPr="00440B48">
        <w:rPr>
          <w:rFonts w:ascii="Times New Roman" w:hAnsi="Times New Roman" w:cs="Times New Roman"/>
          <w:b/>
          <w:sz w:val="28"/>
          <w:szCs w:val="26"/>
        </w:rPr>
        <w:t>CHAPTER FIVE</w:t>
      </w:r>
    </w:p>
    <w:p w:rsidR="008B166C" w:rsidRPr="00440B48" w:rsidRDefault="008B166C" w:rsidP="008B166C">
      <w:pPr>
        <w:spacing w:line="360" w:lineRule="auto"/>
        <w:jc w:val="center"/>
        <w:rPr>
          <w:rFonts w:ascii="Times New Roman" w:hAnsi="Times New Roman" w:cs="Times New Roman"/>
          <w:b/>
          <w:sz w:val="28"/>
          <w:szCs w:val="26"/>
        </w:rPr>
      </w:pPr>
      <w:r w:rsidRPr="00440B48">
        <w:rPr>
          <w:rFonts w:ascii="Times New Roman" w:hAnsi="Times New Roman" w:cs="Times New Roman"/>
          <w:b/>
          <w:sz w:val="28"/>
          <w:szCs w:val="26"/>
        </w:rPr>
        <w:t>SUMMARY, CONCLUSION AND RECOMMENDATIONS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Summary of the Study</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This research study embarked on a crucial investigation into the state of e-learning adoption for chemistry education in secondary schools across Ilorin West Local Government Area, Nigeria. The study was motivated by the growing importance of digital learning tools in modern education and the particular challenges faced in teaching chemistry, a subject that often requires visual and practical approaches to facilitate understanding of abstract concepts. The research sought to bridge the knowledge gap regarding the actual preparedness of Nigerian secondary schools to implement e-learning strategies in chemistry instruction.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methodology employed a descriptive survey design to gather quantitative data from a carefully selected sample of 100 respondents, evenly distributed between chemistry teachers and senior secondary students across ten schools. This balanced approach ensured that both educator and learner perspectives were adequately captured in the findings. The research instrument, a structured questionnaire, was meticulously designed to assess four critical dimensions: awareness and knowledge of e-learning tools, availability and accessibility of digital resources, implementation challenges, and potential improvement strategies.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The findings paint a picture of an education system at a crossroads regarding technology integration. On one hand, there is clear recognition among stakeholders of the transformative potential of e-learning in chemistry education. Teachers and </w:t>
      </w:r>
      <w:r w:rsidRPr="00440B48">
        <w:rPr>
          <w:rFonts w:ascii="Times New Roman" w:hAnsi="Times New Roman" w:cs="Times New Roman"/>
          <w:sz w:val="28"/>
          <w:szCs w:val="26"/>
        </w:rPr>
        <w:lastRenderedPageBreak/>
        <w:t>students alike appreciate how digital tools could enhance the teaching and learning of complex chemical concepts through interactive simulations, virtual laboratories, and multimedia presentations. This positive disposition creates a favorable foundation for e-learning adoption.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However, the study reveals significant gaps between this theoretical appreciation and practical implementation. While awareness of e-learning benefits is reasonably high, actual usage remains disappointingly low due to multiple systemic barriers. The most glaring of these is the inadequate technological infrastructure in schools. Many institutions lack even the most basic requirements for digital learning: functional computers, reliable internet connectivity, and stable electricity supply. These deficiencies are particularly acute in public schools compared to their private counterparts, highlighting concerning equity issues in educational resource distribution.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research also uncovers critical human capacity challenges. Chemistry teachers, despite their subject expertise, often lack the necessary digital literacy skills to effectively integrate technology into their teaching practices. This skills gap stems from insufficient professional development opportunities and inadequate institutional support for technology adoption. Students face their own accessibility challenges, with limited personal device ownership restricting their ability to engage with digital learning materials beyond school hours.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Perhaps most telling is the near-absence of specialized chemistry e-learning platforms in the surveyed schools. While generic digital tools are sometimes available, subject-specific resources that could truly enhance chemistry instruction remain largely inaccessible. This finding suggests that even in schools with some technology infrastructure, the available resources may not be optimally aligned with curriculum needs.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The study also examines the perspectives of stakeholders on potential solutions to these challenges. There is strong consensus on the need for government intervention, </w:t>
      </w:r>
      <w:r w:rsidRPr="00440B48">
        <w:rPr>
          <w:rFonts w:ascii="Times New Roman" w:hAnsi="Times New Roman" w:cs="Times New Roman"/>
          <w:sz w:val="28"/>
          <w:szCs w:val="26"/>
        </w:rPr>
        <w:lastRenderedPageBreak/>
        <w:t>particularly in terms of funding for ICT infrastructure and teacher training programs. Respondents expressed particular interest in blended learning approaches that combine traditional and digital methods, recognizing that immediate full-scale transformation may be unrealistic. Mobile learning solutions emerge as a particularly promising avenue, given their lower infrastructure requirements and compatibility with the devices students already own.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By documenting both the current state of e-learning readiness and stakeholder perspectives on improvement strategies, this research provides valuable insights for policymakers, school administrators, and educational technology developers. It highlights the need for context-appropriate solutions that recognize Nigeria's unique educational landscape and resource constraints. The study also identifies promising directions for future research, particularly in evaluating the effectiveness of specific intervention strategies and low-cost technological solutions.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In essence, this research presents a comprehensive assessment of where Nigerian secondary schools currently stand in terms of e-learning readiness for chemistry education, why they stand there, and what steps might be taken to move forward. It balances realism about current limitations with optimism about future possibilities, provided that challenges are addressed systematically and sustainably. The findings will be particularly valuable for education planners seeking to develop evidence-based strategies for digital learning integration in STEM subjects across Nigeria's diverse educational landscape.</w:t>
      </w:r>
    </w:p>
    <w:p w:rsidR="008B166C" w:rsidRPr="00440B48" w:rsidRDefault="008B166C" w:rsidP="008B166C">
      <w:pPr>
        <w:spacing w:line="360" w:lineRule="auto"/>
        <w:jc w:val="both"/>
        <w:rPr>
          <w:rFonts w:ascii="Times New Roman" w:hAnsi="Times New Roman" w:cs="Times New Roman"/>
          <w:b/>
          <w:sz w:val="28"/>
          <w:szCs w:val="26"/>
        </w:rPr>
      </w:pPr>
      <w:r w:rsidRPr="00440B48">
        <w:rPr>
          <w:rFonts w:ascii="Times New Roman" w:hAnsi="Times New Roman" w:cs="Times New Roman"/>
          <w:b/>
          <w:sz w:val="28"/>
          <w:szCs w:val="26"/>
        </w:rPr>
        <w:t>CONCLUSION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 xml:space="preserve">This study has provided a comprehensive examination of the current state of e-learning adoption for chemistry education in secondary schools within Ilorin West Local Government Area, Nigeria. The findings present both encouraging signs and sobering realities about the readiness of our educational system to embrace digital transformation in science education. While the research confirms the theoretical </w:t>
      </w:r>
      <w:r w:rsidRPr="00440B48">
        <w:rPr>
          <w:rFonts w:ascii="Times New Roman" w:hAnsi="Times New Roman" w:cs="Times New Roman"/>
          <w:sz w:val="28"/>
          <w:szCs w:val="26"/>
        </w:rPr>
        <w:lastRenderedPageBreak/>
        <w:t>potential of e-learning to revolutionize chemistry instruction, it also reveals significant systemic barriers that must be addressed to make this potential a reality.</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At its core, the study demonstrates that Nigerian educators and students are not resistant to technological innovation in education. On the contrary, there exists a strong recognition among stakeholders of how digital tools could enhance the teaching and learning of chemistry. This positive disposition forms a crucial foundation for future e-learning initiatives. Teachers understand how virtual laboratories could compensate for inadequate physical lab facilities, while students appreciate how interactive simulations could make abstract chemical concepts more tangible. This shared enthusiasm suggests that with proper support and infrastructure, e-learning adoption could gain rapid acceptance in our schools.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However, the research also exposes the harsh realities of our current educational infrastructure. The chronic shortages of basic requirements - reliable electricity, internet connectivity, and functional devices - create an environment where even the most enthusiastic teachers cannot effectively implement e-learning strategies. These infrastructure deficits are particularly acute in public schools, creating worrying disparities in educational opportunities between students from different socioeconomic backgrounds. The situation represents not just a technological challenge, but a fundamental equity issue in our education system.</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The human dimension of the e-learning challenge emerges clearly from the findings. Many chemistry teachers, despite their subject matter expertise, lack confidence in using digital tools for instruction. This skills gap stems not from unwillingness to learn, but from inadequate professional development opportunities. Similarly, students' ability to benefit from e-learning is constrained by limited access to personal devices and internet connectivity outside school hours. These human factors are just as critical as the physical infrastructure in determining the success of digital learning initiatives.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lastRenderedPageBreak/>
        <w:t>Perhaps the study's most significant revelation is the interconnected nature of the challenges facing e-learning adoption. Infrastructure limitations undermine teacher confidence, while teacher preparedness affects how available technologies are utilized. Curriculum misalignment reduces the effectiveness of digital resources, and unequal resource distribution creates pockets of exclusion. This complexity means that isolated interventions in any single area are unlikely to yield sustainable improvements. A holistic, system-wide approach is necessary to create meaningful change.</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In concluding, this research affirms that e-learning in chemistry education is not just about adopting new tools, but about transforming educational paradigms. It requires rethinking how we teach, how students learn, and how schools are resourced. While the challenges are substantial, they are not insurmountable. With strategic planning, sustained investment, and collaborative effort among all stakeholders, Nigeria can harness digital technologies to revolutionize science education. The journey will require patience and persistence, but the potential rewards - improved learning outcomes, enhanced teacher effectiveness, and better preparation of students for a technology-driven world - make this endeavor both necessary and worthwhile for the future of Nigerian education.</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b/>
          <w:bCs/>
          <w:sz w:val="28"/>
          <w:szCs w:val="26"/>
        </w:rPr>
        <w:t>Recommendations</w:t>
      </w:r>
    </w:p>
    <w:p w:rsidR="008B166C" w:rsidRPr="00440B48" w:rsidRDefault="008B166C" w:rsidP="008B166C">
      <w:pPr>
        <w:spacing w:line="360" w:lineRule="auto"/>
        <w:jc w:val="both"/>
        <w:rPr>
          <w:rFonts w:ascii="Times New Roman" w:hAnsi="Times New Roman" w:cs="Times New Roman"/>
          <w:sz w:val="28"/>
          <w:szCs w:val="26"/>
        </w:rPr>
      </w:pPr>
      <w:r w:rsidRPr="00440B48">
        <w:rPr>
          <w:rFonts w:ascii="Times New Roman" w:hAnsi="Times New Roman" w:cs="Times New Roman"/>
          <w:sz w:val="28"/>
          <w:szCs w:val="26"/>
        </w:rPr>
        <w:t>Based on the findings, the following recommendations are proposed:</w:t>
      </w:r>
    </w:p>
    <w:p w:rsidR="008B166C" w:rsidRPr="00440B48" w:rsidRDefault="008B166C" w:rsidP="008B166C">
      <w:pPr>
        <w:numPr>
          <w:ilvl w:val="0"/>
          <w:numId w:val="8"/>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Increase funding for ICT infrastructure</w:t>
      </w:r>
      <w:r w:rsidRPr="00440B48">
        <w:rPr>
          <w:rFonts w:ascii="Times New Roman" w:hAnsi="Times New Roman" w:cs="Times New Roman"/>
          <w:sz w:val="28"/>
          <w:szCs w:val="26"/>
        </w:rPr>
        <w:t> in schools, particularly in public institutions.</w:t>
      </w:r>
    </w:p>
    <w:p w:rsidR="008B166C" w:rsidRPr="00440B48" w:rsidRDefault="008B166C" w:rsidP="008B166C">
      <w:pPr>
        <w:numPr>
          <w:ilvl w:val="0"/>
          <w:numId w:val="8"/>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Provide subsidies for schools</w:t>
      </w:r>
      <w:r w:rsidRPr="00440B48">
        <w:rPr>
          <w:rFonts w:ascii="Times New Roman" w:hAnsi="Times New Roman" w:cs="Times New Roman"/>
          <w:sz w:val="28"/>
          <w:szCs w:val="26"/>
        </w:rPr>
        <w:t> to subscribe to </w:t>
      </w:r>
      <w:r w:rsidRPr="00440B48">
        <w:rPr>
          <w:rFonts w:ascii="Times New Roman" w:hAnsi="Times New Roman" w:cs="Times New Roman"/>
          <w:bCs/>
          <w:sz w:val="28"/>
          <w:szCs w:val="26"/>
        </w:rPr>
        <w:t>chemistry-specific e-learning platforms</w:t>
      </w:r>
      <w:r w:rsidRPr="00440B48">
        <w:rPr>
          <w:rFonts w:ascii="Times New Roman" w:hAnsi="Times New Roman" w:cs="Times New Roman"/>
          <w:sz w:val="28"/>
          <w:szCs w:val="26"/>
        </w:rPr>
        <w:t> (e.g., Labster, ChemCollective).</w:t>
      </w:r>
    </w:p>
    <w:p w:rsidR="008B166C" w:rsidRPr="00440B48" w:rsidRDefault="008B166C" w:rsidP="008B166C">
      <w:pPr>
        <w:numPr>
          <w:ilvl w:val="0"/>
          <w:numId w:val="8"/>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Develop a national e-learning policy</w:t>
      </w:r>
      <w:r w:rsidRPr="00440B48">
        <w:rPr>
          <w:rFonts w:ascii="Times New Roman" w:hAnsi="Times New Roman" w:cs="Times New Roman"/>
          <w:sz w:val="28"/>
          <w:szCs w:val="26"/>
        </w:rPr>
        <w:t> for STEM education, ensuring </w:t>
      </w:r>
      <w:r w:rsidRPr="00440B48">
        <w:rPr>
          <w:rFonts w:ascii="Times New Roman" w:hAnsi="Times New Roman" w:cs="Times New Roman"/>
          <w:bCs/>
          <w:sz w:val="28"/>
          <w:szCs w:val="26"/>
        </w:rPr>
        <w:t>alignment with the Nigerian curriculum</w:t>
      </w:r>
      <w:r w:rsidRPr="00440B48">
        <w:rPr>
          <w:rFonts w:ascii="Times New Roman" w:hAnsi="Times New Roman" w:cs="Times New Roman"/>
          <w:sz w:val="28"/>
          <w:szCs w:val="26"/>
        </w:rPr>
        <w:t>.</w:t>
      </w:r>
    </w:p>
    <w:p w:rsidR="008B166C" w:rsidRPr="00440B48" w:rsidRDefault="008B166C" w:rsidP="008B166C">
      <w:pPr>
        <w:numPr>
          <w:ilvl w:val="0"/>
          <w:numId w:val="9"/>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lastRenderedPageBreak/>
        <w:t>Mandatory ICT training programs</w:t>
      </w:r>
      <w:r w:rsidRPr="00440B48">
        <w:rPr>
          <w:rFonts w:ascii="Times New Roman" w:hAnsi="Times New Roman" w:cs="Times New Roman"/>
          <w:sz w:val="28"/>
          <w:szCs w:val="26"/>
        </w:rPr>
        <w:t> for chemistry teachers, focusing on </w:t>
      </w:r>
      <w:r w:rsidRPr="00440B48">
        <w:rPr>
          <w:rFonts w:ascii="Times New Roman" w:hAnsi="Times New Roman" w:cs="Times New Roman"/>
          <w:bCs/>
          <w:sz w:val="28"/>
          <w:szCs w:val="26"/>
        </w:rPr>
        <w:t>practical usage of e-learning tools</w:t>
      </w:r>
      <w:r w:rsidRPr="00440B48">
        <w:rPr>
          <w:rFonts w:ascii="Times New Roman" w:hAnsi="Times New Roman" w:cs="Times New Roman"/>
          <w:sz w:val="28"/>
          <w:szCs w:val="26"/>
        </w:rPr>
        <w:t>.</w:t>
      </w:r>
    </w:p>
    <w:p w:rsidR="008B166C" w:rsidRPr="00440B48" w:rsidRDefault="008B166C" w:rsidP="008B166C">
      <w:pPr>
        <w:numPr>
          <w:ilvl w:val="0"/>
          <w:numId w:val="9"/>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Workshops on blended learning strategies</w:t>
      </w:r>
      <w:r w:rsidRPr="00440B48">
        <w:rPr>
          <w:rFonts w:ascii="Times New Roman" w:hAnsi="Times New Roman" w:cs="Times New Roman"/>
          <w:sz w:val="28"/>
          <w:szCs w:val="26"/>
        </w:rPr>
        <w:t> to help teachers integrate digital and traditional teaching methods.</w:t>
      </w:r>
    </w:p>
    <w:p w:rsidR="008B166C" w:rsidRPr="00440B48" w:rsidRDefault="008B166C" w:rsidP="008B166C">
      <w:pPr>
        <w:numPr>
          <w:ilvl w:val="0"/>
          <w:numId w:val="9"/>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Establish peer-mentoring networks</w:t>
      </w:r>
      <w:r w:rsidRPr="00440B48">
        <w:rPr>
          <w:rFonts w:ascii="Times New Roman" w:hAnsi="Times New Roman" w:cs="Times New Roman"/>
          <w:sz w:val="28"/>
          <w:szCs w:val="26"/>
        </w:rPr>
        <w:t> where tech-savvy teachers support colleagues in adopting e-learning.</w:t>
      </w:r>
    </w:p>
    <w:p w:rsidR="008B166C" w:rsidRPr="00440B48" w:rsidRDefault="008B166C" w:rsidP="008B166C">
      <w:pPr>
        <w:numPr>
          <w:ilvl w:val="0"/>
          <w:numId w:val="10"/>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Invest in alternative power sources</w:t>
      </w:r>
      <w:r w:rsidRPr="00440B48">
        <w:rPr>
          <w:rFonts w:ascii="Times New Roman" w:hAnsi="Times New Roman" w:cs="Times New Roman"/>
          <w:sz w:val="28"/>
          <w:szCs w:val="26"/>
        </w:rPr>
        <w:t> (solar energy, generators) to mitigate electricity challenges.</w:t>
      </w:r>
    </w:p>
    <w:p w:rsidR="008B166C" w:rsidRPr="00440B48" w:rsidRDefault="008B166C" w:rsidP="008B166C">
      <w:pPr>
        <w:numPr>
          <w:ilvl w:val="0"/>
          <w:numId w:val="10"/>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Introduce computer literacy programs</w:t>
      </w:r>
      <w:r w:rsidRPr="00440B48">
        <w:rPr>
          <w:rFonts w:ascii="Times New Roman" w:hAnsi="Times New Roman" w:cs="Times New Roman"/>
          <w:sz w:val="28"/>
          <w:szCs w:val="26"/>
        </w:rPr>
        <w:t> for students to enhance their digital skills.</w:t>
      </w:r>
    </w:p>
    <w:p w:rsidR="008B166C" w:rsidRPr="00440B48" w:rsidRDefault="008B166C" w:rsidP="008B166C">
      <w:pPr>
        <w:numPr>
          <w:ilvl w:val="0"/>
          <w:numId w:val="10"/>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Adopt mobile-friendly e-learning apps</w:t>
      </w:r>
      <w:r w:rsidRPr="00440B48">
        <w:rPr>
          <w:rFonts w:ascii="Times New Roman" w:hAnsi="Times New Roman" w:cs="Times New Roman"/>
          <w:sz w:val="28"/>
          <w:szCs w:val="26"/>
        </w:rPr>
        <w:t> that require low internet bandwidth for wider accessibility.</w:t>
      </w:r>
    </w:p>
    <w:p w:rsidR="008B166C" w:rsidRPr="00440B48" w:rsidRDefault="008B166C" w:rsidP="008B166C">
      <w:pPr>
        <w:numPr>
          <w:ilvl w:val="0"/>
          <w:numId w:val="11"/>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Collaborate with ed-tech firms</w:t>
      </w:r>
      <w:r w:rsidRPr="00440B48">
        <w:rPr>
          <w:rFonts w:ascii="Times New Roman" w:hAnsi="Times New Roman" w:cs="Times New Roman"/>
          <w:sz w:val="28"/>
          <w:szCs w:val="26"/>
        </w:rPr>
        <w:t> to develop </w:t>
      </w:r>
      <w:r w:rsidRPr="00440B48">
        <w:rPr>
          <w:rFonts w:ascii="Times New Roman" w:hAnsi="Times New Roman" w:cs="Times New Roman"/>
          <w:bCs/>
          <w:sz w:val="28"/>
          <w:szCs w:val="26"/>
        </w:rPr>
        <w:t>localized chemistry e-learning content</w:t>
      </w:r>
      <w:r w:rsidRPr="00440B48">
        <w:rPr>
          <w:rFonts w:ascii="Times New Roman" w:hAnsi="Times New Roman" w:cs="Times New Roman"/>
          <w:sz w:val="28"/>
          <w:szCs w:val="26"/>
        </w:rPr>
        <w:t> tailored to Nigerian schools.</w:t>
      </w:r>
    </w:p>
    <w:p w:rsidR="008B166C" w:rsidRPr="00440B48" w:rsidRDefault="008B166C" w:rsidP="008B166C">
      <w:pPr>
        <w:numPr>
          <w:ilvl w:val="0"/>
          <w:numId w:val="11"/>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Encourage teachers to create digital lesson plans</w:t>
      </w:r>
      <w:r w:rsidRPr="00440B48">
        <w:rPr>
          <w:rFonts w:ascii="Times New Roman" w:hAnsi="Times New Roman" w:cs="Times New Roman"/>
          <w:sz w:val="28"/>
          <w:szCs w:val="26"/>
        </w:rPr>
        <w:t> using free tools like Google Classroom and YouTube tutorials.</w:t>
      </w:r>
    </w:p>
    <w:p w:rsidR="008B166C" w:rsidRPr="00440B48" w:rsidRDefault="008B166C" w:rsidP="008B166C">
      <w:pPr>
        <w:numPr>
          <w:ilvl w:val="0"/>
          <w:numId w:val="11"/>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WAEC and NERDC should incorporate e-learning components</w:t>
      </w:r>
      <w:r w:rsidRPr="00440B48">
        <w:rPr>
          <w:rFonts w:ascii="Times New Roman" w:hAnsi="Times New Roman" w:cs="Times New Roman"/>
          <w:sz w:val="28"/>
          <w:szCs w:val="26"/>
        </w:rPr>
        <w:t> into national examinations to incentivize adoption.</w:t>
      </w:r>
    </w:p>
    <w:p w:rsidR="008B166C" w:rsidRPr="00440B48" w:rsidRDefault="008B166C" w:rsidP="008B166C">
      <w:pPr>
        <w:numPr>
          <w:ilvl w:val="0"/>
          <w:numId w:val="12"/>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A longitudinal study</w:t>
      </w:r>
      <w:r w:rsidRPr="00440B48">
        <w:rPr>
          <w:rFonts w:ascii="Times New Roman" w:hAnsi="Times New Roman" w:cs="Times New Roman"/>
          <w:sz w:val="28"/>
          <w:szCs w:val="26"/>
        </w:rPr>
        <w:t> tracking the impact of e-learning on chemistry performance in Nigerian schools.</w:t>
      </w:r>
    </w:p>
    <w:p w:rsidR="008B166C" w:rsidRPr="00440B48" w:rsidRDefault="008B166C" w:rsidP="008B166C">
      <w:pPr>
        <w:numPr>
          <w:ilvl w:val="0"/>
          <w:numId w:val="12"/>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Comparative studies</w:t>
      </w:r>
      <w:r w:rsidRPr="00440B48">
        <w:rPr>
          <w:rFonts w:ascii="Times New Roman" w:hAnsi="Times New Roman" w:cs="Times New Roman"/>
          <w:sz w:val="28"/>
          <w:szCs w:val="26"/>
        </w:rPr>
        <w:t> between urban and rural schools to assess regional disparities in e-learning adoption.</w:t>
      </w:r>
    </w:p>
    <w:p w:rsidR="008B166C" w:rsidRPr="00440B48" w:rsidRDefault="008B166C" w:rsidP="008B166C">
      <w:pPr>
        <w:numPr>
          <w:ilvl w:val="0"/>
          <w:numId w:val="12"/>
        </w:numPr>
        <w:spacing w:after="200" w:line="360" w:lineRule="auto"/>
        <w:jc w:val="both"/>
        <w:rPr>
          <w:rFonts w:ascii="Times New Roman" w:hAnsi="Times New Roman" w:cs="Times New Roman"/>
          <w:sz w:val="28"/>
          <w:szCs w:val="26"/>
        </w:rPr>
      </w:pPr>
      <w:r w:rsidRPr="00440B48">
        <w:rPr>
          <w:rFonts w:ascii="Times New Roman" w:hAnsi="Times New Roman" w:cs="Times New Roman"/>
          <w:bCs/>
          <w:sz w:val="28"/>
          <w:szCs w:val="26"/>
        </w:rPr>
        <w:t>Evaluation of low-cost e-learning solutions</w:t>
      </w:r>
      <w:r w:rsidRPr="00440B48">
        <w:rPr>
          <w:rFonts w:ascii="Times New Roman" w:hAnsi="Times New Roman" w:cs="Times New Roman"/>
          <w:sz w:val="28"/>
          <w:szCs w:val="26"/>
        </w:rPr>
        <w:t> (e.g., SMS-based quizzes, offline apps) for under-resourced schools.</w:t>
      </w: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spacing w:before="274" w:after="206" w:line="360" w:lineRule="auto"/>
        <w:jc w:val="both"/>
        <w:outlineLvl w:val="2"/>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REFERENCES</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Adarkwah, M. A. (2021). "The power of e-learning in chemistry education: A literature review." </w:t>
      </w:r>
      <w:r w:rsidRPr="00F259F4">
        <w:rPr>
          <w:rFonts w:ascii="Times New Roman" w:eastAsia="Times New Roman" w:hAnsi="Times New Roman" w:cs="Times New Roman"/>
          <w:i/>
          <w:iCs/>
          <w:color w:val="404040"/>
          <w:sz w:val="28"/>
          <w:szCs w:val="26"/>
        </w:rPr>
        <w:t>Journal of Educational Technology</w:t>
      </w:r>
      <w:r w:rsidRPr="00F259F4">
        <w:rPr>
          <w:rFonts w:ascii="Times New Roman" w:eastAsia="Times New Roman" w:hAnsi="Times New Roman" w:cs="Times New Roman"/>
          <w:color w:val="404040"/>
          <w:sz w:val="28"/>
          <w:szCs w:val="26"/>
        </w:rPr>
        <w:t>, 12(3), 45-60.</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lastRenderedPageBreak/>
        <w:t>Adeoye, I. A., Adanikin, A. F., &amp;Adanikin, A. (2021)."E-learning tools and students' performance in chemistry." </w:t>
      </w:r>
      <w:r w:rsidRPr="00F259F4">
        <w:rPr>
          <w:rFonts w:ascii="Times New Roman" w:eastAsia="Times New Roman" w:hAnsi="Times New Roman" w:cs="Times New Roman"/>
          <w:i/>
          <w:iCs/>
          <w:color w:val="404040"/>
          <w:sz w:val="28"/>
          <w:szCs w:val="26"/>
        </w:rPr>
        <w:t>International Journal of Science Education</w:t>
      </w:r>
      <w:r w:rsidRPr="00F259F4">
        <w:rPr>
          <w:rFonts w:ascii="Times New Roman" w:eastAsia="Times New Roman" w:hAnsi="Times New Roman" w:cs="Times New Roman"/>
          <w:color w:val="404040"/>
          <w:sz w:val="28"/>
          <w:szCs w:val="26"/>
        </w:rPr>
        <w:t>, 10(2), 112-125.</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Adesina, A. O., &amp;Akinbobola, A. O. (2022). "Challenges of e-learning in Nigerian secondary schools: A case study of chemistry education." </w:t>
      </w:r>
      <w:r w:rsidRPr="00F259F4">
        <w:rPr>
          <w:rFonts w:ascii="Times New Roman" w:eastAsia="Times New Roman" w:hAnsi="Times New Roman" w:cs="Times New Roman"/>
          <w:i/>
          <w:iCs/>
          <w:color w:val="404040"/>
          <w:sz w:val="28"/>
          <w:szCs w:val="26"/>
        </w:rPr>
        <w:t>African Journal of Educational Research</w:t>
      </w:r>
      <w:r w:rsidRPr="00F259F4">
        <w:rPr>
          <w:rFonts w:ascii="Times New Roman" w:eastAsia="Times New Roman" w:hAnsi="Times New Roman" w:cs="Times New Roman"/>
          <w:color w:val="404040"/>
          <w:sz w:val="28"/>
          <w:szCs w:val="26"/>
        </w:rPr>
        <w:t>, 18(1), 34-48.</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Alameri, J., et al. (2020). "ICT integration in science education: Challenges and solutions." *Journal of Computer-Assisted Learning*, 36(4), 511-525.</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Clark, R. C., &amp; Mayer, R. E. (2016). *E-learning and the science of instruction: Proven guidelines for consumers and designers of multimedia learning.* Wiley.</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Dhull, I., &amp;Sakshi, M. (2017). "E-learning: A paradigm shift in education." </w:t>
      </w:r>
      <w:r w:rsidRPr="00F259F4">
        <w:rPr>
          <w:rFonts w:ascii="Times New Roman" w:eastAsia="Times New Roman" w:hAnsi="Times New Roman" w:cs="Times New Roman"/>
          <w:i/>
          <w:iCs/>
          <w:color w:val="404040"/>
          <w:sz w:val="28"/>
          <w:szCs w:val="26"/>
        </w:rPr>
        <w:t>International Journal of Applied Research</w:t>
      </w:r>
      <w:r w:rsidRPr="00F259F4">
        <w:rPr>
          <w:rFonts w:ascii="Times New Roman" w:eastAsia="Times New Roman" w:hAnsi="Times New Roman" w:cs="Times New Roman"/>
          <w:color w:val="404040"/>
          <w:sz w:val="28"/>
          <w:szCs w:val="26"/>
        </w:rPr>
        <w:t>, 3(4), 312-316.</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Eshet-Alkalai, Y. (2012). "Digital literacy: A conceptual framework for survival skills in the digital era." </w:t>
      </w:r>
      <w:r w:rsidRPr="00F259F4">
        <w:rPr>
          <w:rFonts w:ascii="Times New Roman" w:eastAsia="Times New Roman" w:hAnsi="Times New Roman" w:cs="Times New Roman"/>
          <w:i/>
          <w:iCs/>
          <w:color w:val="404040"/>
          <w:sz w:val="28"/>
          <w:szCs w:val="26"/>
        </w:rPr>
        <w:t>Journal of Educational Multimedia and Hypermedia</w:t>
      </w:r>
      <w:r w:rsidRPr="00F259F4">
        <w:rPr>
          <w:rFonts w:ascii="Times New Roman" w:eastAsia="Times New Roman" w:hAnsi="Times New Roman" w:cs="Times New Roman"/>
          <w:color w:val="404040"/>
          <w:sz w:val="28"/>
          <w:szCs w:val="26"/>
        </w:rPr>
        <w:t>, 13(1), 93-106.</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Federal Ministry of Education. (2019). </w:t>
      </w:r>
      <w:r w:rsidRPr="00F259F4">
        <w:rPr>
          <w:rFonts w:ascii="Times New Roman" w:eastAsia="Times New Roman" w:hAnsi="Times New Roman" w:cs="Times New Roman"/>
          <w:i/>
          <w:iCs/>
          <w:color w:val="404040"/>
          <w:sz w:val="28"/>
          <w:szCs w:val="26"/>
        </w:rPr>
        <w:t>National Policy on Education (6th ed.).</w:t>
      </w:r>
      <w:r w:rsidRPr="00F259F4">
        <w:rPr>
          <w:rFonts w:ascii="Times New Roman" w:eastAsia="Times New Roman" w:hAnsi="Times New Roman" w:cs="Times New Roman"/>
          <w:color w:val="404040"/>
          <w:sz w:val="28"/>
          <w:szCs w:val="26"/>
        </w:rPr>
        <w:t> NERDC Press.</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Hwang, G. J., et al. (2020). "Effects of digital game-based learning on students' self-efficacy and achievement in chemistry." </w:t>
      </w:r>
      <w:r w:rsidRPr="00F259F4">
        <w:rPr>
          <w:rFonts w:ascii="Times New Roman" w:eastAsia="Times New Roman" w:hAnsi="Times New Roman" w:cs="Times New Roman"/>
          <w:i/>
          <w:iCs/>
          <w:color w:val="404040"/>
          <w:sz w:val="28"/>
          <w:szCs w:val="26"/>
        </w:rPr>
        <w:t>Computers &amp; Education</w:t>
      </w:r>
      <w:r w:rsidRPr="00F259F4">
        <w:rPr>
          <w:rFonts w:ascii="Times New Roman" w:eastAsia="Times New Roman" w:hAnsi="Times New Roman" w:cs="Times New Roman"/>
          <w:color w:val="404040"/>
          <w:sz w:val="28"/>
          <w:szCs w:val="26"/>
        </w:rPr>
        <w:t>, 147, 103780.</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Johnstone, A. H. (2019). "Chemistry teaching—Science or alchemy?" </w:t>
      </w:r>
      <w:r w:rsidRPr="00F259F4">
        <w:rPr>
          <w:rFonts w:ascii="Times New Roman" w:eastAsia="Times New Roman" w:hAnsi="Times New Roman" w:cs="Times New Roman"/>
          <w:i/>
          <w:iCs/>
          <w:color w:val="404040"/>
          <w:sz w:val="28"/>
          <w:szCs w:val="26"/>
        </w:rPr>
        <w:t>Journal of Chemical Education</w:t>
      </w:r>
      <w:r w:rsidRPr="00F259F4">
        <w:rPr>
          <w:rFonts w:ascii="Times New Roman" w:eastAsia="Times New Roman" w:hAnsi="Times New Roman" w:cs="Times New Roman"/>
          <w:color w:val="404040"/>
          <w:sz w:val="28"/>
          <w:szCs w:val="26"/>
        </w:rPr>
        <w:t>, 96(1), 3-10.</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lastRenderedPageBreak/>
        <w:t>Onyema, E. M., et al. (2020). "Impact of e-learning on academic performance of students in chemistry during COVID-19." </w:t>
      </w:r>
      <w:r w:rsidRPr="00F259F4">
        <w:rPr>
          <w:rFonts w:ascii="Times New Roman" w:eastAsia="Times New Roman" w:hAnsi="Times New Roman" w:cs="Times New Roman"/>
          <w:i/>
          <w:iCs/>
          <w:color w:val="404040"/>
          <w:sz w:val="28"/>
          <w:szCs w:val="26"/>
        </w:rPr>
        <w:t>Journal of Research in Innovative Teaching &amp; Learning</w:t>
      </w:r>
      <w:r w:rsidRPr="00F259F4">
        <w:rPr>
          <w:rFonts w:ascii="Times New Roman" w:eastAsia="Times New Roman" w:hAnsi="Times New Roman" w:cs="Times New Roman"/>
          <w:color w:val="404040"/>
          <w:sz w:val="28"/>
          <w:szCs w:val="26"/>
        </w:rPr>
        <w:t>, 13(2), 145-160.</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eastAsia="Times New Roman" w:hAnsi="Times New Roman" w:cs="Times New Roman"/>
          <w:color w:val="404040"/>
          <w:sz w:val="28"/>
          <w:szCs w:val="26"/>
        </w:rPr>
        <w:t>Taber, K. S. (2020). </w:t>
      </w:r>
      <w:r w:rsidRPr="00F259F4">
        <w:rPr>
          <w:rFonts w:ascii="Times New Roman" w:eastAsia="Times New Roman" w:hAnsi="Times New Roman" w:cs="Times New Roman"/>
          <w:i/>
          <w:iCs/>
          <w:color w:val="404040"/>
          <w:sz w:val="28"/>
          <w:szCs w:val="26"/>
        </w:rPr>
        <w:t>Progressing science education: Constructing the scientific research programme into the contingent nature of learning science.</w:t>
      </w:r>
      <w:r w:rsidRPr="00F259F4">
        <w:rPr>
          <w:rFonts w:ascii="Times New Roman" w:eastAsia="Times New Roman" w:hAnsi="Times New Roman" w:cs="Times New Roman"/>
          <w:color w:val="404040"/>
          <w:sz w:val="28"/>
          <w:szCs w:val="26"/>
        </w:rPr>
        <w:t> Springer.</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i/>
          <w:iCs/>
          <w:color w:val="404040"/>
          <w:sz w:val="28"/>
          <w:szCs w:val="26"/>
        </w:rPr>
      </w:pPr>
      <w:r w:rsidRPr="00F259F4">
        <w:rPr>
          <w:rFonts w:ascii="Times New Roman" w:eastAsia="Times New Roman" w:hAnsi="Times New Roman" w:cs="Times New Roman"/>
          <w:color w:val="404040"/>
          <w:sz w:val="28"/>
          <w:szCs w:val="26"/>
        </w:rPr>
        <w:t>UNESCO.(2022). "Digital learning and transformation in education." </w:t>
      </w:r>
      <w:r w:rsidRPr="00F259F4">
        <w:rPr>
          <w:rFonts w:ascii="Times New Roman" w:eastAsia="Times New Roman" w:hAnsi="Times New Roman" w:cs="Times New Roman"/>
          <w:i/>
          <w:iCs/>
          <w:color w:val="404040"/>
          <w:sz w:val="28"/>
          <w:szCs w:val="26"/>
        </w:rPr>
        <w:t>UNESCO Global Education Report.</w:t>
      </w:r>
    </w:p>
    <w:p w:rsidR="008B166C" w:rsidRPr="00F259F4" w:rsidRDefault="008B166C" w:rsidP="008B166C">
      <w:pPr>
        <w:spacing w:before="274" w:after="206" w:line="360" w:lineRule="auto"/>
        <w:ind w:left="720" w:hanging="720"/>
        <w:jc w:val="both"/>
        <w:outlineLvl w:val="2"/>
        <w:rPr>
          <w:rFonts w:ascii="Times New Roman" w:hAnsi="Times New Roman" w:cs="Times New Roman"/>
          <w:color w:val="404040"/>
          <w:sz w:val="28"/>
          <w:szCs w:val="26"/>
        </w:rPr>
      </w:pPr>
      <w:r w:rsidRPr="00F259F4">
        <w:rPr>
          <w:rFonts w:ascii="Times New Roman" w:hAnsi="Times New Roman" w:cs="Times New Roman"/>
          <w:color w:val="404040"/>
          <w:sz w:val="28"/>
          <w:szCs w:val="26"/>
        </w:rPr>
        <w:t>Clark, R. C., &amp; Mayer, R. E. (2016). E-learning and the science of instruction: Proven guidelines for consumers and designers of multimedia learning. Wiley.</w:t>
      </w:r>
    </w:p>
    <w:p w:rsidR="008B166C" w:rsidRPr="00F259F4" w:rsidRDefault="008B166C" w:rsidP="008B166C">
      <w:pPr>
        <w:spacing w:before="274" w:after="206" w:line="360" w:lineRule="auto"/>
        <w:ind w:left="720" w:hanging="720"/>
        <w:jc w:val="both"/>
        <w:outlineLvl w:val="2"/>
        <w:rPr>
          <w:rFonts w:ascii="Times New Roman" w:hAnsi="Times New Roman" w:cs="Times New Roman"/>
          <w:color w:val="404040"/>
          <w:sz w:val="28"/>
          <w:szCs w:val="26"/>
        </w:rPr>
      </w:pPr>
      <w:r w:rsidRPr="00F259F4">
        <w:rPr>
          <w:rFonts w:ascii="Times New Roman" w:hAnsi="Times New Roman" w:cs="Times New Roman"/>
          <w:color w:val="404040"/>
          <w:sz w:val="28"/>
          <w:szCs w:val="26"/>
        </w:rPr>
        <w:t>Federal Ministry of Education. (2019). National Policy on Education (6th ed.). NERDC Press.</w:t>
      </w:r>
    </w:p>
    <w:p w:rsidR="008B166C" w:rsidRPr="00F259F4" w:rsidRDefault="008B166C" w:rsidP="008B166C">
      <w:pPr>
        <w:spacing w:before="274" w:after="206" w:line="360" w:lineRule="auto"/>
        <w:ind w:left="720" w:hanging="720"/>
        <w:jc w:val="both"/>
        <w:outlineLvl w:val="2"/>
        <w:rPr>
          <w:rFonts w:ascii="Times New Roman" w:hAnsi="Times New Roman" w:cs="Times New Roman"/>
          <w:color w:val="404040"/>
          <w:sz w:val="28"/>
          <w:szCs w:val="26"/>
        </w:rPr>
      </w:pPr>
      <w:r w:rsidRPr="00F259F4">
        <w:rPr>
          <w:rFonts w:ascii="Times New Roman" w:hAnsi="Times New Roman" w:cs="Times New Roman"/>
          <w:color w:val="404040"/>
          <w:sz w:val="28"/>
          <w:szCs w:val="26"/>
        </w:rPr>
        <w:t>Hwang, G. J., et al. (2020). "Effects of digital game-based learning on students' self-efficacy and achievement in chemistry."Computers &amp; Education, 147, 103780.</w:t>
      </w:r>
    </w:p>
    <w:p w:rsidR="008B166C" w:rsidRPr="00F259F4" w:rsidRDefault="008B166C" w:rsidP="008B166C">
      <w:pPr>
        <w:spacing w:before="274" w:after="206" w:line="360" w:lineRule="auto"/>
        <w:ind w:left="720" w:hanging="720"/>
        <w:jc w:val="both"/>
        <w:outlineLvl w:val="2"/>
        <w:rPr>
          <w:rFonts w:ascii="Times New Roman" w:hAnsi="Times New Roman" w:cs="Times New Roman"/>
          <w:color w:val="404040"/>
          <w:sz w:val="28"/>
          <w:szCs w:val="26"/>
        </w:rPr>
      </w:pPr>
      <w:r w:rsidRPr="00F259F4">
        <w:rPr>
          <w:rFonts w:ascii="Times New Roman" w:hAnsi="Times New Roman" w:cs="Times New Roman"/>
          <w:color w:val="404040"/>
          <w:sz w:val="28"/>
          <w:szCs w:val="26"/>
        </w:rPr>
        <w:t>Johnstone, A. H. (2019). "Chemistry teaching—Science or alchemy?" Journal of Chemical Education, 96(1), 3-10.</w:t>
      </w:r>
    </w:p>
    <w:p w:rsidR="008B166C" w:rsidRPr="00F259F4" w:rsidRDefault="008B166C" w:rsidP="008B166C">
      <w:pPr>
        <w:spacing w:before="274" w:after="206" w:line="360" w:lineRule="auto"/>
        <w:ind w:left="720" w:hanging="720"/>
        <w:jc w:val="both"/>
        <w:outlineLvl w:val="2"/>
        <w:rPr>
          <w:rFonts w:ascii="Times New Roman" w:hAnsi="Times New Roman" w:cs="Times New Roman"/>
          <w:color w:val="404040"/>
          <w:sz w:val="28"/>
          <w:szCs w:val="26"/>
        </w:rPr>
      </w:pPr>
      <w:r w:rsidRPr="00F259F4">
        <w:rPr>
          <w:rFonts w:ascii="Times New Roman" w:hAnsi="Times New Roman" w:cs="Times New Roman"/>
          <w:color w:val="404040"/>
          <w:sz w:val="28"/>
          <w:szCs w:val="26"/>
        </w:rPr>
        <w:t>Onyema, E. M., et al. (2020). "Impact of e-learning on academic performance of students in chemistry during COVID-19." Journal of Research in Innovative Teaching &amp; Learning, 13(2), 145-160.</w:t>
      </w:r>
    </w:p>
    <w:p w:rsidR="008B166C" w:rsidRPr="00F259F4" w:rsidRDefault="008B166C" w:rsidP="008B166C">
      <w:pPr>
        <w:spacing w:before="274" w:after="206" w:line="360" w:lineRule="auto"/>
        <w:ind w:left="720" w:hanging="720"/>
        <w:jc w:val="both"/>
        <w:outlineLvl w:val="2"/>
        <w:rPr>
          <w:rFonts w:ascii="Times New Roman" w:hAnsi="Times New Roman" w:cs="Times New Roman"/>
          <w:color w:val="404040"/>
          <w:sz w:val="28"/>
          <w:szCs w:val="26"/>
        </w:rPr>
      </w:pPr>
      <w:r w:rsidRPr="00F259F4">
        <w:rPr>
          <w:rFonts w:ascii="Times New Roman" w:hAnsi="Times New Roman" w:cs="Times New Roman"/>
          <w:color w:val="404040"/>
          <w:sz w:val="28"/>
          <w:szCs w:val="26"/>
        </w:rPr>
        <w:t>Taber, K. S. (2020). Progressing science education: Constructing the scientific research programme into the contingent nature of learning science. Springer.</w:t>
      </w:r>
    </w:p>
    <w:p w:rsidR="008B166C" w:rsidRPr="00F259F4" w:rsidRDefault="008B166C" w:rsidP="008B166C">
      <w:pPr>
        <w:spacing w:before="274" w:after="206" w:line="360" w:lineRule="auto"/>
        <w:ind w:left="720" w:hanging="720"/>
        <w:jc w:val="both"/>
        <w:outlineLvl w:val="2"/>
        <w:rPr>
          <w:rFonts w:ascii="Times New Roman" w:eastAsia="Times New Roman" w:hAnsi="Times New Roman" w:cs="Times New Roman"/>
          <w:color w:val="404040"/>
          <w:sz w:val="28"/>
          <w:szCs w:val="26"/>
        </w:rPr>
      </w:pPr>
      <w:r w:rsidRPr="00F259F4">
        <w:rPr>
          <w:rFonts w:ascii="Times New Roman" w:hAnsi="Times New Roman" w:cs="Times New Roman"/>
          <w:color w:val="404040"/>
          <w:sz w:val="28"/>
          <w:szCs w:val="26"/>
        </w:rPr>
        <w:t>UNESCO.(2022). "Digital learning and transformation in education."UNESCO Global Education Report.</w:t>
      </w:r>
    </w:p>
    <w:p w:rsidR="008B166C" w:rsidRPr="00440B48" w:rsidRDefault="008B166C" w:rsidP="008B166C">
      <w:pPr>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tabs>
          <w:tab w:val="num" w:pos="720"/>
        </w:tabs>
        <w:spacing w:line="360" w:lineRule="auto"/>
        <w:jc w:val="both"/>
        <w:rPr>
          <w:rFonts w:ascii="Times New Roman" w:hAnsi="Times New Roman" w:cs="Times New Roman"/>
          <w:sz w:val="28"/>
          <w:szCs w:val="26"/>
        </w:rPr>
      </w:pPr>
    </w:p>
    <w:p w:rsidR="008B166C" w:rsidRPr="00440B48" w:rsidRDefault="008B166C" w:rsidP="008B166C">
      <w:pPr>
        <w:shd w:val="clear" w:color="auto" w:fill="FFFFFF"/>
        <w:spacing w:after="206" w:line="360" w:lineRule="auto"/>
        <w:jc w:val="center"/>
        <w:outlineLvl w:val="2"/>
        <w:rPr>
          <w:rFonts w:ascii="Times New Roman" w:eastAsia="Times New Roman" w:hAnsi="Times New Roman" w:cs="Times New Roman"/>
          <w:color w:val="404040"/>
          <w:sz w:val="28"/>
          <w:szCs w:val="26"/>
        </w:rPr>
      </w:pPr>
      <w:r>
        <w:rPr>
          <w:rFonts w:ascii="Times New Roman" w:eastAsia="Times New Roman" w:hAnsi="Times New Roman" w:cs="Times New Roman"/>
          <w:b/>
          <w:bCs/>
          <w:color w:val="404040"/>
          <w:sz w:val="28"/>
          <w:szCs w:val="26"/>
        </w:rPr>
        <w:t>APPENDIX</w:t>
      </w:r>
    </w:p>
    <w:p w:rsidR="008B166C" w:rsidRPr="00440B48" w:rsidRDefault="008B166C" w:rsidP="008B166C">
      <w:pPr>
        <w:shd w:val="clear" w:color="auto" w:fill="FFFFFF"/>
        <w:spacing w:after="206" w:line="360" w:lineRule="auto"/>
        <w:jc w:val="center"/>
        <w:rPr>
          <w:rFonts w:ascii="Times New Roman" w:eastAsia="Times New Roman" w:hAnsi="Times New Roman" w:cs="Times New Roman"/>
          <w:b/>
          <w:color w:val="404040"/>
          <w:sz w:val="28"/>
          <w:szCs w:val="26"/>
        </w:rPr>
      </w:pPr>
      <w:r w:rsidRPr="00440B48">
        <w:rPr>
          <w:rFonts w:ascii="Times New Roman" w:eastAsia="Times New Roman" w:hAnsi="Times New Roman" w:cs="Times New Roman"/>
          <w:b/>
          <w:color w:val="404040"/>
          <w:sz w:val="28"/>
          <w:szCs w:val="26"/>
        </w:rPr>
        <w:t>KNOWLEDGE AND AVAILABILITY OF E-LEARNING FACILITIES FOR EFFECTIVE TEACHING AND LEARNING OF CHEMISTRY IN SECONDARY SCHOOLS</w:t>
      </w:r>
    </w:p>
    <w:p w:rsidR="008B166C" w:rsidRPr="00440B48" w:rsidRDefault="008B166C" w:rsidP="008B166C">
      <w:pPr>
        <w:shd w:val="clear" w:color="auto" w:fill="FFFFFF"/>
        <w:spacing w:after="206" w:line="360" w:lineRule="auto"/>
        <w:jc w:val="both"/>
        <w:rPr>
          <w:rFonts w:ascii="Times New Roman" w:eastAsia="Times New Roman" w:hAnsi="Times New Roman" w:cs="Times New Roman"/>
          <w:b/>
          <w:color w:val="404040"/>
          <w:sz w:val="28"/>
          <w:szCs w:val="26"/>
        </w:rPr>
      </w:pPr>
      <w:r w:rsidRPr="00440B48">
        <w:rPr>
          <w:rFonts w:ascii="Times New Roman" w:eastAsia="Times New Roman" w:hAnsi="Times New Roman" w:cs="Times New Roman"/>
          <w:b/>
          <w:color w:val="404040"/>
          <w:sz w:val="28"/>
          <w:szCs w:val="26"/>
        </w:rPr>
        <w:t>Dear respondent,</w:t>
      </w:r>
    </w:p>
    <w:p w:rsidR="008B166C" w:rsidRPr="00440B48" w:rsidRDefault="008B166C" w:rsidP="008B166C">
      <w:pPr>
        <w:shd w:val="clear" w:color="auto" w:fill="FFFFFF"/>
        <w:spacing w:after="206" w:line="360" w:lineRule="auto"/>
        <w:ind w:firstLine="720"/>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color w:val="404040"/>
          <w:sz w:val="28"/>
          <w:szCs w:val="26"/>
        </w:rPr>
        <w:t xml:space="preserve">This questionnaire is designed to seek information on the Knowledge and Availability of E-Learning Facilities for Effective Teaching and Learning of </w:t>
      </w:r>
      <w:r w:rsidRPr="00440B48">
        <w:rPr>
          <w:rFonts w:ascii="Times New Roman" w:eastAsia="Times New Roman" w:hAnsi="Times New Roman" w:cs="Times New Roman"/>
          <w:color w:val="404040"/>
          <w:sz w:val="28"/>
          <w:szCs w:val="26"/>
        </w:rPr>
        <w:lastRenderedPageBreak/>
        <w:t>Chemistry in Secondary Schools.  It is solely for research purpose and all information shall be treated with utmost confidentiality.</w:t>
      </w:r>
    </w:p>
    <w:p w:rsidR="008B166C" w:rsidRPr="00440B48" w:rsidRDefault="008B166C" w:rsidP="008B166C">
      <w:pPr>
        <w:shd w:val="clear" w:color="auto" w:fill="FFFFFF"/>
        <w:spacing w:after="206"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Instructions:</w:t>
      </w:r>
      <w:r w:rsidRPr="00440B48">
        <w:rPr>
          <w:rFonts w:ascii="Times New Roman" w:eastAsia="Times New Roman" w:hAnsi="Times New Roman" w:cs="Times New Roman"/>
          <w:color w:val="404040"/>
          <w:sz w:val="28"/>
          <w:szCs w:val="26"/>
        </w:rPr>
        <w:t> Please tick (</w:t>
      </w:r>
      <w:r w:rsidRPr="00440B48">
        <w:rPr>
          <w:rFonts w:ascii="MS Gothic" w:eastAsia="MS Gothic" w:hAnsi="MS Gothic" w:cs="MS Gothic" w:hint="eastAsia"/>
          <w:color w:val="404040"/>
          <w:sz w:val="28"/>
          <w:szCs w:val="26"/>
        </w:rPr>
        <w:t>✓</w:t>
      </w:r>
      <w:r w:rsidRPr="00440B48">
        <w:rPr>
          <w:rFonts w:ascii="Times New Roman" w:eastAsia="Times New Roman" w:hAnsi="Times New Roman" w:cs="Times New Roman"/>
          <w:color w:val="404040"/>
          <w:sz w:val="28"/>
          <w:szCs w:val="26"/>
        </w:rPr>
        <w:t>) the response that best reflects your opinion.</w:t>
      </w:r>
    </w:p>
    <w:p w:rsidR="008B166C" w:rsidRPr="00440B48" w:rsidRDefault="008B166C" w:rsidP="008B166C">
      <w:pPr>
        <w:shd w:val="clear" w:color="auto" w:fill="FFFFFF"/>
        <w:spacing w:after="206" w:line="360" w:lineRule="auto"/>
        <w:jc w:val="both"/>
        <w:outlineLvl w:val="3"/>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Section A: Demographic Information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5"/>
        <w:gridCol w:w="5553"/>
        <w:gridCol w:w="3502"/>
      </w:tblGrid>
      <w:tr w:rsidR="008B166C" w:rsidRPr="00440B48" w:rsidTr="002974D3">
        <w:trPr>
          <w:tblHeader/>
          <w:jc w:val="center"/>
        </w:trPr>
        <w:tc>
          <w:tcPr>
            <w:tcW w:w="36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No.</w:t>
            </w:r>
          </w:p>
        </w:tc>
        <w:tc>
          <w:tcPr>
            <w:tcW w:w="2845"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Question</w:t>
            </w:r>
          </w:p>
        </w:tc>
        <w:tc>
          <w:tcPr>
            <w:tcW w:w="179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Response</w:t>
            </w:r>
          </w:p>
        </w:tc>
      </w:tr>
      <w:tr w:rsidR="008B166C" w:rsidRPr="00440B48" w:rsidTr="002974D3">
        <w:trPr>
          <w:jc w:val="center"/>
        </w:trPr>
        <w:tc>
          <w:tcPr>
            <w:tcW w:w="36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w:t>
            </w:r>
          </w:p>
        </w:tc>
        <w:tc>
          <w:tcPr>
            <w:tcW w:w="2845"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School Type:</w:t>
            </w:r>
          </w:p>
        </w:tc>
        <w:tc>
          <w:tcPr>
            <w:tcW w:w="179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MS Gothic" w:eastAsia="MS Gothic" w:hAnsi="MS Gothic" w:cs="MS Gothic" w:hint="eastAsia"/>
                <w:sz w:val="28"/>
                <w:szCs w:val="26"/>
              </w:rPr>
              <w:t>☐</w:t>
            </w:r>
            <w:r w:rsidRPr="00440B48">
              <w:rPr>
                <w:rFonts w:ascii="Times New Roman" w:eastAsia="Times New Roman" w:hAnsi="Times New Roman" w:cs="Times New Roman"/>
                <w:sz w:val="28"/>
                <w:szCs w:val="26"/>
              </w:rPr>
              <w:t xml:space="preserve"> Public </w:t>
            </w:r>
            <w:r w:rsidRPr="00440B48">
              <w:rPr>
                <w:rFonts w:ascii="MS Gothic" w:eastAsia="MS Gothic" w:hAnsi="MS Gothic" w:cs="MS Gothic" w:hint="eastAsia"/>
                <w:sz w:val="28"/>
                <w:szCs w:val="26"/>
              </w:rPr>
              <w:t>☐</w:t>
            </w:r>
            <w:r w:rsidRPr="00440B48">
              <w:rPr>
                <w:rFonts w:ascii="Times New Roman" w:eastAsia="Times New Roman" w:hAnsi="Times New Roman" w:cs="Times New Roman"/>
                <w:sz w:val="28"/>
                <w:szCs w:val="26"/>
              </w:rPr>
              <w:t xml:space="preserve"> Private</w:t>
            </w:r>
          </w:p>
        </w:tc>
      </w:tr>
      <w:tr w:rsidR="008B166C" w:rsidRPr="00440B48" w:rsidTr="002974D3">
        <w:trPr>
          <w:jc w:val="center"/>
        </w:trPr>
        <w:tc>
          <w:tcPr>
            <w:tcW w:w="36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w:t>
            </w:r>
          </w:p>
        </w:tc>
        <w:tc>
          <w:tcPr>
            <w:tcW w:w="2845"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Gender:</w:t>
            </w:r>
          </w:p>
        </w:tc>
        <w:tc>
          <w:tcPr>
            <w:tcW w:w="179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MS Gothic" w:eastAsia="MS Gothic" w:hAnsi="MS Gothic" w:cs="MS Gothic" w:hint="eastAsia"/>
                <w:sz w:val="28"/>
                <w:szCs w:val="26"/>
              </w:rPr>
              <w:t>☐</w:t>
            </w:r>
            <w:r w:rsidRPr="00440B48">
              <w:rPr>
                <w:rFonts w:ascii="Times New Roman" w:eastAsia="Times New Roman" w:hAnsi="Times New Roman" w:cs="Times New Roman"/>
                <w:sz w:val="28"/>
                <w:szCs w:val="26"/>
              </w:rPr>
              <w:t xml:space="preserve"> Male </w:t>
            </w:r>
            <w:r w:rsidRPr="00440B48">
              <w:rPr>
                <w:rFonts w:ascii="MS Gothic" w:eastAsia="MS Gothic" w:hAnsi="MS Gothic" w:cs="MS Gothic" w:hint="eastAsia"/>
                <w:sz w:val="28"/>
                <w:szCs w:val="26"/>
              </w:rPr>
              <w:t>☐</w:t>
            </w:r>
            <w:r w:rsidRPr="00440B48">
              <w:rPr>
                <w:rFonts w:ascii="Times New Roman" w:eastAsia="Times New Roman" w:hAnsi="Times New Roman" w:cs="Times New Roman"/>
                <w:sz w:val="28"/>
                <w:szCs w:val="26"/>
              </w:rPr>
              <w:t xml:space="preserve"> Female</w:t>
            </w:r>
          </w:p>
        </w:tc>
      </w:tr>
      <w:tr w:rsidR="008B166C" w:rsidRPr="00440B48" w:rsidTr="002974D3">
        <w:trPr>
          <w:jc w:val="center"/>
        </w:trPr>
        <w:tc>
          <w:tcPr>
            <w:tcW w:w="36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3</w:t>
            </w:r>
          </w:p>
        </w:tc>
        <w:tc>
          <w:tcPr>
            <w:tcW w:w="2845"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Role:</w:t>
            </w:r>
          </w:p>
        </w:tc>
        <w:tc>
          <w:tcPr>
            <w:tcW w:w="179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MS Gothic" w:eastAsia="MS Gothic" w:hAnsi="MS Gothic" w:cs="MS Gothic" w:hint="eastAsia"/>
                <w:sz w:val="28"/>
                <w:szCs w:val="26"/>
              </w:rPr>
              <w:t>☐</w:t>
            </w:r>
            <w:r w:rsidRPr="00440B48">
              <w:rPr>
                <w:rFonts w:ascii="Times New Roman" w:eastAsia="Times New Roman" w:hAnsi="Times New Roman" w:cs="Times New Roman"/>
                <w:sz w:val="28"/>
                <w:szCs w:val="26"/>
              </w:rPr>
              <w:t xml:space="preserve"> Teacher </w:t>
            </w:r>
            <w:r w:rsidRPr="00440B48">
              <w:rPr>
                <w:rFonts w:ascii="MS Gothic" w:eastAsia="MS Gothic" w:hAnsi="MS Gothic" w:cs="MS Gothic" w:hint="eastAsia"/>
                <w:sz w:val="28"/>
                <w:szCs w:val="26"/>
              </w:rPr>
              <w:t>☐</w:t>
            </w:r>
            <w:r w:rsidRPr="00440B48">
              <w:rPr>
                <w:rFonts w:ascii="Times New Roman" w:eastAsia="Times New Roman" w:hAnsi="Times New Roman" w:cs="Times New Roman"/>
                <w:sz w:val="28"/>
                <w:szCs w:val="26"/>
              </w:rPr>
              <w:t xml:space="preserve"> Student</w:t>
            </w:r>
          </w:p>
        </w:tc>
      </w:tr>
      <w:tr w:rsidR="008B166C" w:rsidRPr="00440B48" w:rsidTr="002974D3">
        <w:trPr>
          <w:jc w:val="center"/>
        </w:trPr>
        <w:tc>
          <w:tcPr>
            <w:tcW w:w="361"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4</w:t>
            </w:r>
          </w:p>
        </w:tc>
        <w:tc>
          <w:tcPr>
            <w:tcW w:w="2845"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Years of Experience (Teachers only):</w:t>
            </w:r>
          </w:p>
        </w:tc>
        <w:tc>
          <w:tcPr>
            <w:tcW w:w="1794"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MS Gothic" w:eastAsia="MS Gothic" w:hAnsi="MS Gothic" w:cs="MS Gothic" w:hint="eastAsia"/>
                <w:sz w:val="28"/>
                <w:szCs w:val="26"/>
              </w:rPr>
              <w:t>☐</w:t>
            </w:r>
            <w:r w:rsidRPr="00440B48">
              <w:rPr>
                <w:rFonts w:ascii="Times New Roman" w:eastAsia="Times New Roman" w:hAnsi="Times New Roman" w:cs="Times New Roman"/>
                <w:sz w:val="28"/>
                <w:szCs w:val="26"/>
              </w:rPr>
              <w:t xml:space="preserve"> 1-5 </w:t>
            </w:r>
            <w:r w:rsidRPr="00440B48">
              <w:rPr>
                <w:rFonts w:ascii="MS Gothic" w:eastAsia="MS Gothic" w:hAnsi="MS Gothic" w:cs="MS Gothic" w:hint="eastAsia"/>
                <w:sz w:val="28"/>
                <w:szCs w:val="26"/>
              </w:rPr>
              <w:t>☐</w:t>
            </w:r>
            <w:r w:rsidRPr="00440B48">
              <w:rPr>
                <w:rFonts w:ascii="Times New Roman" w:eastAsia="Times New Roman" w:hAnsi="Times New Roman" w:cs="Times New Roman"/>
                <w:sz w:val="28"/>
                <w:szCs w:val="26"/>
              </w:rPr>
              <w:t xml:space="preserve"> 6-10 </w:t>
            </w:r>
            <w:r w:rsidRPr="00440B48">
              <w:rPr>
                <w:rFonts w:ascii="MS Gothic" w:eastAsia="MS Gothic" w:hAnsi="MS Gothic" w:cs="MS Gothic" w:hint="eastAsia"/>
                <w:sz w:val="28"/>
                <w:szCs w:val="26"/>
              </w:rPr>
              <w:t>☐</w:t>
            </w:r>
            <w:r w:rsidRPr="00440B48">
              <w:rPr>
                <w:rFonts w:ascii="Times New Roman" w:eastAsia="Times New Roman" w:hAnsi="Times New Roman" w:cs="Times New Roman"/>
                <w:sz w:val="28"/>
                <w:szCs w:val="26"/>
              </w:rPr>
              <w:t xml:space="preserve"> 11+</w:t>
            </w:r>
          </w:p>
        </w:tc>
      </w:tr>
    </w:tbl>
    <w:p w:rsidR="008B166C" w:rsidRPr="00440B48" w:rsidRDefault="008B166C" w:rsidP="008B166C">
      <w:pPr>
        <w:shd w:val="clear" w:color="auto" w:fill="FFFFFF"/>
        <w:spacing w:after="0" w:line="360" w:lineRule="auto"/>
        <w:jc w:val="both"/>
        <w:outlineLvl w:val="3"/>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Section B: Knowledge and Awareness of E-Learning Facilities</w:t>
      </w:r>
    </w:p>
    <w:p w:rsidR="008B166C" w:rsidRPr="00440B48" w:rsidRDefault="008B166C" w:rsidP="008B166C">
      <w:pPr>
        <w:shd w:val="clear" w:color="auto" w:fill="FFFFFF"/>
        <w:spacing w:after="0"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i/>
          <w:iCs/>
          <w:color w:val="404040"/>
          <w:sz w:val="28"/>
          <w:szCs w:val="26"/>
        </w:rPr>
        <w:t>(Research Question 1)</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3"/>
        <w:gridCol w:w="7001"/>
        <w:gridCol w:w="583"/>
        <w:gridCol w:w="515"/>
        <w:gridCol w:w="515"/>
        <w:gridCol w:w="583"/>
      </w:tblGrid>
      <w:tr w:rsidR="008B166C" w:rsidRPr="00440B48" w:rsidTr="002974D3">
        <w:trPr>
          <w:tblHeade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No.</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Statement</w:t>
            </w:r>
          </w:p>
        </w:tc>
        <w:tc>
          <w:tcPr>
            <w:tcW w:w="305"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SA</w:t>
            </w:r>
          </w:p>
        </w:tc>
        <w:tc>
          <w:tcPr>
            <w:tcW w:w="270"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w:t>
            </w:r>
          </w:p>
        </w:tc>
        <w:tc>
          <w:tcPr>
            <w:tcW w:w="270"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D</w:t>
            </w:r>
          </w:p>
        </w:tc>
        <w:tc>
          <w:tcPr>
            <w:tcW w:w="305"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SD</w:t>
            </w: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5</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I am aware of various e-learning tools (e.g., virtual labs, chemistry apps) for teaching/learning chemistry.</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6</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I understand how to use e-learning platforms for chemistry lessons.</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7</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My school provides training on e-learning tools for chemistry education.</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8</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E-learning can improve students' understanding of complex chemistry concepts.</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bl>
    <w:p w:rsidR="008B166C" w:rsidRPr="00440B48" w:rsidRDefault="008B166C" w:rsidP="008B166C">
      <w:pPr>
        <w:shd w:val="clear" w:color="auto" w:fill="FFFFFF"/>
        <w:spacing w:after="0" w:line="360" w:lineRule="auto"/>
        <w:jc w:val="both"/>
        <w:outlineLvl w:val="3"/>
        <w:rPr>
          <w:rFonts w:ascii="Times New Roman" w:eastAsia="Times New Roman" w:hAnsi="Times New Roman" w:cs="Times New Roman"/>
          <w:b/>
          <w:bCs/>
          <w:color w:val="404040"/>
          <w:sz w:val="28"/>
          <w:szCs w:val="26"/>
        </w:rPr>
      </w:pPr>
    </w:p>
    <w:p w:rsidR="008B166C" w:rsidRPr="00440B48" w:rsidRDefault="008B166C" w:rsidP="008B166C">
      <w:pPr>
        <w:shd w:val="clear" w:color="auto" w:fill="FFFFFF"/>
        <w:spacing w:after="0" w:line="360" w:lineRule="auto"/>
        <w:jc w:val="both"/>
        <w:outlineLvl w:val="3"/>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Section C: Availability and Accessibility of E-Learning Tools</w:t>
      </w:r>
    </w:p>
    <w:p w:rsidR="008B166C" w:rsidRPr="00440B48" w:rsidRDefault="008B166C" w:rsidP="008B166C">
      <w:pPr>
        <w:shd w:val="clear" w:color="auto" w:fill="FFFFFF"/>
        <w:spacing w:after="0"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i/>
          <w:iCs/>
          <w:color w:val="404040"/>
          <w:sz w:val="28"/>
          <w:szCs w:val="26"/>
        </w:rPr>
        <w:t>(Research Question 2)</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3"/>
        <w:gridCol w:w="7001"/>
        <w:gridCol w:w="583"/>
        <w:gridCol w:w="515"/>
        <w:gridCol w:w="515"/>
        <w:gridCol w:w="583"/>
      </w:tblGrid>
      <w:tr w:rsidR="008B166C" w:rsidRPr="00440B48" w:rsidTr="002974D3">
        <w:trPr>
          <w:tblHeade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No.</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Statement</w:t>
            </w:r>
          </w:p>
        </w:tc>
        <w:tc>
          <w:tcPr>
            <w:tcW w:w="305"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SA</w:t>
            </w:r>
          </w:p>
        </w:tc>
        <w:tc>
          <w:tcPr>
            <w:tcW w:w="270"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w:t>
            </w:r>
          </w:p>
        </w:tc>
        <w:tc>
          <w:tcPr>
            <w:tcW w:w="270"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D</w:t>
            </w:r>
          </w:p>
        </w:tc>
        <w:tc>
          <w:tcPr>
            <w:tcW w:w="305"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SD</w:t>
            </w: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9</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My school has functional computers/tablets for chemistry e-learning.</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10</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Reliable internet access is available for chemistry e-learning in my school.</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11</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My school subscribes to chemistry-specific e-learning platforms (e.g., Labster, ChemCollective).</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12</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Students can access e-learning chemistry resources outside school hours.</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bl>
    <w:p w:rsidR="008B166C" w:rsidRPr="00440B48" w:rsidRDefault="008B166C" w:rsidP="008B166C">
      <w:pPr>
        <w:shd w:val="clear" w:color="auto" w:fill="FFFFFF"/>
        <w:spacing w:after="0" w:line="360" w:lineRule="auto"/>
        <w:jc w:val="both"/>
        <w:outlineLvl w:val="3"/>
        <w:rPr>
          <w:rFonts w:ascii="Times New Roman" w:eastAsia="Times New Roman" w:hAnsi="Times New Roman" w:cs="Times New Roman"/>
          <w:b/>
          <w:bCs/>
          <w:color w:val="404040"/>
          <w:sz w:val="28"/>
          <w:szCs w:val="26"/>
        </w:rPr>
      </w:pPr>
    </w:p>
    <w:p w:rsidR="008B166C" w:rsidRDefault="008B166C" w:rsidP="008B166C">
      <w:pPr>
        <w:shd w:val="clear" w:color="auto" w:fill="FFFFFF"/>
        <w:spacing w:after="0" w:line="360" w:lineRule="auto"/>
        <w:jc w:val="both"/>
        <w:outlineLvl w:val="3"/>
        <w:rPr>
          <w:rFonts w:ascii="Times New Roman" w:eastAsia="Times New Roman" w:hAnsi="Times New Roman" w:cs="Times New Roman"/>
          <w:b/>
          <w:bCs/>
          <w:color w:val="404040"/>
          <w:sz w:val="28"/>
          <w:szCs w:val="26"/>
        </w:rPr>
      </w:pPr>
    </w:p>
    <w:p w:rsidR="008B166C" w:rsidRPr="00440B48" w:rsidRDefault="008B166C" w:rsidP="008B166C">
      <w:pPr>
        <w:shd w:val="clear" w:color="auto" w:fill="FFFFFF"/>
        <w:spacing w:after="0" w:line="360" w:lineRule="auto"/>
        <w:jc w:val="both"/>
        <w:outlineLvl w:val="3"/>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Section D: Challenges Affecting E-Learning Adoption</w:t>
      </w:r>
    </w:p>
    <w:p w:rsidR="008B166C" w:rsidRPr="00440B48" w:rsidRDefault="008B166C" w:rsidP="008B166C">
      <w:pPr>
        <w:shd w:val="clear" w:color="auto" w:fill="FFFFFF"/>
        <w:spacing w:after="0"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i/>
          <w:iCs/>
          <w:color w:val="404040"/>
          <w:sz w:val="28"/>
          <w:szCs w:val="26"/>
        </w:rPr>
        <w:t>(Research Question 3)</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3"/>
        <w:gridCol w:w="7001"/>
        <w:gridCol w:w="583"/>
        <w:gridCol w:w="515"/>
        <w:gridCol w:w="515"/>
        <w:gridCol w:w="583"/>
      </w:tblGrid>
      <w:tr w:rsidR="008B166C" w:rsidRPr="00440B48" w:rsidTr="002974D3">
        <w:trPr>
          <w:tblHeade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No.</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Statement</w:t>
            </w:r>
          </w:p>
        </w:tc>
        <w:tc>
          <w:tcPr>
            <w:tcW w:w="305"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SA</w:t>
            </w:r>
          </w:p>
        </w:tc>
        <w:tc>
          <w:tcPr>
            <w:tcW w:w="270"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w:t>
            </w:r>
          </w:p>
        </w:tc>
        <w:tc>
          <w:tcPr>
            <w:tcW w:w="270"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D</w:t>
            </w:r>
          </w:p>
        </w:tc>
        <w:tc>
          <w:tcPr>
            <w:tcW w:w="305"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SD</w:t>
            </w: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13</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Poor electricity supply hinders the use of e-learning tools in my school.</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14</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Teachers lack adequate training to use e-learning resources for chemistry.</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15</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Students have limited access to personal devices for e-learning.</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lastRenderedPageBreak/>
              <w:t>16</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Most available e-learning tools are not aligned with the chemistry curriculum.</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bl>
    <w:p w:rsidR="008B166C" w:rsidRPr="00440B48" w:rsidRDefault="008B166C" w:rsidP="008B166C">
      <w:pPr>
        <w:shd w:val="clear" w:color="auto" w:fill="FFFFFF"/>
        <w:spacing w:after="0" w:line="360" w:lineRule="auto"/>
        <w:jc w:val="both"/>
        <w:outlineLvl w:val="3"/>
        <w:rPr>
          <w:rFonts w:ascii="Times New Roman" w:eastAsia="Times New Roman" w:hAnsi="Times New Roman" w:cs="Times New Roman"/>
          <w:b/>
          <w:bCs/>
          <w:color w:val="404040"/>
          <w:sz w:val="28"/>
          <w:szCs w:val="26"/>
        </w:rPr>
      </w:pPr>
    </w:p>
    <w:p w:rsidR="008B166C" w:rsidRPr="00440B48" w:rsidRDefault="008B166C" w:rsidP="008B166C">
      <w:pPr>
        <w:shd w:val="clear" w:color="auto" w:fill="FFFFFF"/>
        <w:spacing w:after="0" w:line="360" w:lineRule="auto"/>
        <w:jc w:val="both"/>
        <w:outlineLvl w:val="3"/>
        <w:rPr>
          <w:rFonts w:ascii="Times New Roman" w:eastAsia="Times New Roman" w:hAnsi="Times New Roman" w:cs="Times New Roman"/>
          <w:color w:val="404040"/>
          <w:sz w:val="28"/>
          <w:szCs w:val="26"/>
        </w:rPr>
      </w:pPr>
      <w:r w:rsidRPr="00440B48">
        <w:rPr>
          <w:rFonts w:ascii="Times New Roman" w:eastAsia="Times New Roman" w:hAnsi="Times New Roman" w:cs="Times New Roman"/>
          <w:b/>
          <w:bCs/>
          <w:color w:val="404040"/>
          <w:sz w:val="28"/>
          <w:szCs w:val="26"/>
        </w:rPr>
        <w:t>Section E: Strategies to Enhance E-Learning Adoption</w:t>
      </w:r>
    </w:p>
    <w:p w:rsidR="008B166C" w:rsidRPr="00440B48" w:rsidRDefault="008B166C" w:rsidP="008B166C">
      <w:pPr>
        <w:shd w:val="clear" w:color="auto" w:fill="FFFFFF"/>
        <w:spacing w:after="0" w:line="360" w:lineRule="auto"/>
        <w:jc w:val="both"/>
        <w:rPr>
          <w:rFonts w:ascii="Times New Roman" w:eastAsia="Times New Roman" w:hAnsi="Times New Roman" w:cs="Times New Roman"/>
          <w:color w:val="404040"/>
          <w:sz w:val="28"/>
          <w:szCs w:val="26"/>
        </w:rPr>
      </w:pPr>
      <w:r w:rsidRPr="00440B48">
        <w:rPr>
          <w:rFonts w:ascii="Times New Roman" w:eastAsia="Times New Roman" w:hAnsi="Times New Roman" w:cs="Times New Roman"/>
          <w:i/>
          <w:iCs/>
          <w:color w:val="404040"/>
          <w:sz w:val="28"/>
          <w:szCs w:val="26"/>
        </w:rPr>
        <w:t>(Research Question 4)</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3"/>
        <w:gridCol w:w="7001"/>
        <w:gridCol w:w="583"/>
        <w:gridCol w:w="515"/>
        <w:gridCol w:w="515"/>
        <w:gridCol w:w="583"/>
      </w:tblGrid>
      <w:tr w:rsidR="008B166C" w:rsidRPr="00440B48" w:rsidTr="002974D3">
        <w:trPr>
          <w:trHeight w:val="20"/>
          <w:tblHeader/>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No.</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Statement</w:t>
            </w:r>
          </w:p>
        </w:tc>
        <w:tc>
          <w:tcPr>
            <w:tcW w:w="305"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SA</w:t>
            </w:r>
          </w:p>
        </w:tc>
        <w:tc>
          <w:tcPr>
            <w:tcW w:w="270"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A</w:t>
            </w:r>
          </w:p>
        </w:tc>
        <w:tc>
          <w:tcPr>
            <w:tcW w:w="270"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D</w:t>
            </w:r>
          </w:p>
        </w:tc>
        <w:tc>
          <w:tcPr>
            <w:tcW w:w="305" w:type="pct"/>
            <w:tcMar>
              <w:top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b/>
                <w:bCs/>
                <w:color w:val="404040"/>
                <w:sz w:val="28"/>
                <w:szCs w:val="26"/>
              </w:rPr>
            </w:pPr>
            <w:r w:rsidRPr="00440B48">
              <w:rPr>
                <w:rFonts w:ascii="Times New Roman" w:eastAsia="Times New Roman" w:hAnsi="Times New Roman" w:cs="Times New Roman"/>
                <w:b/>
                <w:bCs/>
                <w:color w:val="404040"/>
                <w:sz w:val="28"/>
                <w:szCs w:val="26"/>
              </w:rPr>
              <w:t>SD</w:t>
            </w:r>
          </w:p>
        </w:tc>
      </w:tr>
      <w:tr w:rsidR="008B166C" w:rsidRPr="00440B48" w:rsidTr="002974D3">
        <w:trPr>
          <w:trHeight w:val="20"/>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17</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Regular teacher training would improve e-learning integration in chemistry.</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trHeight w:val="20"/>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18</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Government should provide more funding for chemistry e-learning tools.</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trHeight w:val="20"/>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19</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Schools should adopt blended learning (mix of physical and e-learning) for chemistry.</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r w:rsidR="008B166C" w:rsidRPr="00440B48" w:rsidTr="002974D3">
        <w:trPr>
          <w:trHeight w:val="20"/>
          <w:jc w:val="center"/>
        </w:trPr>
        <w:tc>
          <w:tcPr>
            <w:tcW w:w="257" w:type="pct"/>
            <w:tcMar>
              <w:top w:w="150" w:type="dxa"/>
              <w:left w:w="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20</w:t>
            </w:r>
          </w:p>
        </w:tc>
        <w:tc>
          <w:tcPr>
            <w:tcW w:w="3593" w:type="pct"/>
            <w:tcMar>
              <w:top w:w="150" w:type="dxa"/>
              <w:left w:w="150" w:type="dxa"/>
              <w:bottom w:w="150" w:type="dxa"/>
              <w:right w:w="150" w:type="dxa"/>
            </w:tcMar>
            <w:vAlign w:val="center"/>
            <w:hideMark/>
          </w:tcPr>
          <w:p w:rsidR="008B166C" w:rsidRPr="00440B48" w:rsidRDefault="008B166C" w:rsidP="002974D3">
            <w:pPr>
              <w:spacing w:after="0" w:line="360" w:lineRule="auto"/>
              <w:jc w:val="both"/>
              <w:rPr>
                <w:rFonts w:ascii="Times New Roman" w:eastAsia="Times New Roman" w:hAnsi="Times New Roman" w:cs="Times New Roman"/>
                <w:sz w:val="28"/>
                <w:szCs w:val="26"/>
              </w:rPr>
            </w:pPr>
            <w:r w:rsidRPr="00440B48">
              <w:rPr>
                <w:rFonts w:ascii="Times New Roman" w:eastAsia="Times New Roman" w:hAnsi="Times New Roman" w:cs="Times New Roman"/>
                <w:sz w:val="28"/>
                <w:szCs w:val="26"/>
              </w:rPr>
              <w:t>Mobile-friendly chemistry e-learning apps would increase accessibility.</w:t>
            </w: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270"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c>
          <w:tcPr>
            <w:tcW w:w="305" w:type="pct"/>
            <w:tcMar>
              <w:top w:w="150" w:type="dxa"/>
              <w:bottom w:w="150" w:type="dxa"/>
              <w:right w:w="150" w:type="dxa"/>
            </w:tcMar>
            <w:vAlign w:val="center"/>
          </w:tcPr>
          <w:p w:rsidR="008B166C" w:rsidRPr="00440B48" w:rsidRDefault="008B166C" w:rsidP="002974D3">
            <w:pPr>
              <w:spacing w:after="0" w:line="360" w:lineRule="auto"/>
              <w:jc w:val="both"/>
              <w:rPr>
                <w:rFonts w:ascii="Times New Roman" w:eastAsia="Times New Roman" w:hAnsi="Times New Roman" w:cs="Times New Roman"/>
                <w:sz w:val="28"/>
                <w:szCs w:val="26"/>
              </w:rPr>
            </w:pPr>
          </w:p>
        </w:tc>
      </w:tr>
    </w:tbl>
    <w:p w:rsidR="008B166C" w:rsidRPr="00440B48" w:rsidRDefault="008B166C" w:rsidP="008B166C">
      <w:pPr>
        <w:spacing w:line="360" w:lineRule="auto"/>
        <w:jc w:val="both"/>
        <w:rPr>
          <w:rFonts w:ascii="Times New Roman" w:hAnsi="Times New Roman" w:cs="Times New Roman"/>
          <w:sz w:val="28"/>
          <w:szCs w:val="26"/>
        </w:rPr>
      </w:pPr>
    </w:p>
    <w:p w:rsidR="008B166C" w:rsidRDefault="008B166C"/>
    <w:sectPr w:rsidR="008B166C" w:rsidSect="008B166C">
      <w:pgSz w:w="11909" w:h="16834" w:code="9"/>
      <w:pgMar w:top="1152" w:right="1152" w:bottom="1152" w:left="1152" w:header="720" w:footer="108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F77" w:rsidRDefault="001B4F77" w:rsidP="00A91CEA">
      <w:pPr>
        <w:spacing w:after="0" w:line="240" w:lineRule="auto"/>
      </w:pPr>
      <w:r>
        <w:separator/>
      </w:r>
    </w:p>
  </w:endnote>
  <w:endnote w:type="continuationSeparator" w:id="1">
    <w:p w:rsidR="001B4F77" w:rsidRDefault="001B4F77" w:rsidP="00A91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019287"/>
      <w:docPartObj>
        <w:docPartGallery w:val="Page Numbers (Bottom of Page)"/>
        <w:docPartUnique/>
      </w:docPartObj>
    </w:sdtPr>
    <w:sdtEndPr>
      <w:rPr>
        <w:noProof/>
      </w:rPr>
    </w:sdtEndPr>
    <w:sdtContent>
      <w:p w:rsidR="008B166C" w:rsidRDefault="00C45A2E">
        <w:pPr>
          <w:pStyle w:val="Footer"/>
          <w:jc w:val="center"/>
        </w:pPr>
        <w:r>
          <w:fldChar w:fldCharType="begin"/>
        </w:r>
        <w:r w:rsidR="008B166C">
          <w:instrText xml:space="preserve"> PAGE   \* MERGEFORMAT </w:instrText>
        </w:r>
        <w:r>
          <w:fldChar w:fldCharType="separate"/>
        </w:r>
        <w:r w:rsidR="0021059A">
          <w:rPr>
            <w:noProof/>
          </w:rPr>
          <w:t>i</w:t>
        </w:r>
        <w:r>
          <w:rPr>
            <w:noProof/>
          </w:rPr>
          <w:fldChar w:fldCharType="end"/>
        </w:r>
      </w:p>
    </w:sdtContent>
  </w:sdt>
  <w:p w:rsidR="00FE22C6" w:rsidRDefault="001B4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F77" w:rsidRDefault="001B4F77" w:rsidP="00A91CEA">
      <w:pPr>
        <w:spacing w:after="0" w:line="240" w:lineRule="auto"/>
      </w:pPr>
      <w:r>
        <w:separator/>
      </w:r>
    </w:p>
  </w:footnote>
  <w:footnote w:type="continuationSeparator" w:id="1">
    <w:p w:rsidR="001B4F77" w:rsidRDefault="001B4F77" w:rsidP="00A91C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9753F"/>
    <w:multiLevelType w:val="multilevel"/>
    <w:tmpl w:val="78C24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A9792E"/>
    <w:multiLevelType w:val="hybridMultilevel"/>
    <w:tmpl w:val="5B42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9684F"/>
    <w:multiLevelType w:val="multilevel"/>
    <w:tmpl w:val="C6AC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C093A"/>
    <w:multiLevelType w:val="multilevel"/>
    <w:tmpl w:val="4F3A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E565EE"/>
    <w:multiLevelType w:val="hybridMultilevel"/>
    <w:tmpl w:val="727E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147EE"/>
    <w:multiLevelType w:val="multilevel"/>
    <w:tmpl w:val="7236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E54E42"/>
    <w:multiLevelType w:val="multilevel"/>
    <w:tmpl w:val="1D28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670DB2"/>
    <w:multiLevelType w:val="hybridMultilevel"/>
    <w:tmpl w:val="4072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AB71FD"/>
    <w:multiLevelType w:val="multilevel"/>
    <w:tmpl w:val="8704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AF31217"/>
    <w:multiLevelType w:val="multilevel"/>
    <w:tmpl w:val="4F84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5A2511"/>
    <w:multiLevelType w:val="multilevel"/>
    <w:tmpl w:val="8FA29FD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4"/>
  </w:num>
  <w:num w:numId="3">
    <w:abstractNumId w:val="11"/>
  </w:num>
  <w:num w:numId="4">
    <w:abstractNumId w:val="7"/>
  </w:num>
  <w:num w:numId="5">
    <w:abstractNumId w:val="1"/>
  </w:num>
  <w:num w:numId="6">
    <w:abstractNumId w:val="3"/>
  </w:num>
  <w:num w:numId="7">
    <w:abstractNumId w:val="0"/>
  </w:num>
  <w:num w:numId="8">
    <w:abstractNumId w:val="8"/>
  </w:num>
  <w:num w:numId="9">
    <w:abstractNumId w:val="2"/>
  </w:num>
  <w:num w:numId="10">
    <w:abstractNumId w:val="5"/>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0390"/>
    <w:rsid w:val="001B4F77"/>
    <w:rsid w:val="00201B8D"/>
    <w:rsid w:val="0021059A"/>
    <w:rsid w:val="0022276B"/>
    <w:rsid w:val="0032210C"/>
    <w:rsid w:val="005374C5"/>
    <w:rsid w:val="008B166C"/>
    <w:rsid w:val="008C0B29"/>
    <w:rsid w:val="009029C1"/>
    <w:rsid w:val="009E2FCD"/>
    <w:rsid w:val="009F0377"/>
    <w:rsid w:val="00A70FEF"/>
    <w:rsid w:val="00A91CEA"/>
    <w:rsid w:val="00BC5C2D"/>
    <w:rsid w:val="00C45A2E"/>
    <w:rsid w:val="00C50390"/>
    <w:rsid w:val="00E931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90"/>
    <w:pPr>
      <w:spacing w:after="160" w:line="259" w:lineRule="auto"/>
    </w:pPr>
  </w:style>
  <w:style w:type="paragraph" w:styleId="Heading1">
    <w:name w:val="heading 1"/>
    <w:basedOn w:val="Normal"/>
    <w:next w:val="Normal"/>
    <w:link w:val="Heading1Char"/>
    <w:qFormat/>
    <w:rsid w:val="00C50390"/>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C50390"/>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390"/>
    <w:rPr>
      <w:rFonts w:ascii="Arial" w:eastAsia="Times New Roman" w:hAnsi="Arial" w:cs="Arial"/>
      <w:b/>
      <w:bCs/>
      <w:sz w:val="28"/>
      <w:szCs w:val="24"/>
      <w:lang w:val="en-GB"/>
    </w:rPr>
  </w:style>
  <w:style w:type="character" w:customStyle="1" w:styleId="Heading4Char">
    <w:name w:val="Heading 4 Char"/>
    <w:basedOn w:val="DefaultParagraphFont"/>
    <w:link w:val="Heading4"/>
    <w:rsid w:val="00C50390"/>
    <w:rPr>
      <w:rFonts w:ascii="Arial" w:eastAsia="Times New Roman" w:hAnsi="Arial" w:cs="Arial"/>
      <w:b/>
      <w:bCs/>
      <w:sz w:val="28"/>
      <w:szCs w:val="24"/>
      <w:lang w:val="en-GB"/>
    </w:rPr>
  </w:style>
  <w:style w:type="paragraph" w:styleId="Footer">
    <w:name w:val="footer"/>
    <w:basedOn w:val="Normal"/>
    <w:link w:val="FooterChar"/>
    <w:uiPriority w:val="99"/>
    <w:unhideWhenUsed/>
    <w:rsid w:val="00C50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390"/>
  </w:style>
  <w:style w:type="paragraph" w:styleId="ListParagraph">
    <w:name w:val="List Paragraph"/>
    <w:basedOn w:val="Normal"/>
    <w:uiPriority w:val="34"/>
    <w:qFormat/>
    <w:rsid w:val="00C50390"/>
    <w:pPr>
      <w:ind w:left="720"/>
      <w:contextualSpacing/>
    </w:pPr>
  </w:style>
  <w:style w:type="paragraph" w:styleId="Header">
    <w:name w:val="header"/>
    <w:basedOn w:val="Normal"/>
    <w:link w:val="HeaderChar"/>
    <w:uiPriority w:val="99"/>
    <w:unhideWhenUsed/>
    <w:rsid w:val="00A91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CEA"/>
  </w:style>
  <w:style w:type="paragraph" w:styleId="BalloonText">
    <w:name w:val="Balloon Text"/>
    <w:basedOn w:val="Normal"/>
    <w:link w:val="BalloonTextChar"/>
    <w:uiPriority w:val="99"/>
    <w:semiHidden/>
    <w:unhideWhenUsed/>
    <w:rsid w:val="00322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1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90"/>
    <w:pPr>
      <w:spacing w:after="160" w:line="259" w:lineRule="auto"/>
    </w:pPr>
  </w:style>
  <w:style w:type="paragraph" w:styleId="Heading1">
    <w:name w:val="heading 1"/>
    <w:basedOn w:val="Normal"/>
    <w:next w:val="Normal"/>
    <w:link w:val="Heading1Char"/>
    <w:qFormat/>
    <w:rsid w:val="00C50390"/>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C50390"/>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390"/>
    <w:rPr>
      <w:rFonts w:ascii="Arial" w:eastAsia="Times New Roman" w:hAnsi="Arial" w:cs="Arial"/>
      <w:b/>
      <w:bCs/>
      <w:sz w:val="28"/>
      <w:szCs w:val="24"/>
      <w:lang w:val="en-GB"/>
    </w:rPr>
  </w:style>
  <w:style w:type="character" w:customStyle="1" w:styleId="Heading4Char">
    <w:name w:val="Heading 4 Char"/>
    <w:basedOn w:val="DefaultParagraphFont"/>
    <w:link w:val="Heading4"/>
    <w:rsid w:val="00C50390"/>
    <w:rPr>
      <w:rFonts w:ascii="Arial" w:eastAsia="Times New Roman" w:hAnsi="Arial" w:cs="Arial"/>
      <w:b/>
      <w:bCs/>
      <w:sz w:val="28"/>
      <w:szCs w:val="24"/>
      <w:lang w:val="en-GB"/>
    </w:rPr>
  </w:style>
  <w:style w:type="paragraph" w:styleId="Footer">
    <w:name w:val="footer"/>
    <w:basedOn w:val="Normal"/>
    <w:link w:val="FooterChar"/>
    <w:uiPriority w:val="99"/>
    <w:unhideWhenUsed/>
    <w:rsid w:val="00C50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390"/>
  </w:style>
  <w:style w:type="paragraph" w:styleId="ListParagraph">
    <w:name w:val="List Paragraph"/>
    <w:basedOn w:val="Normal"/>
    <w:uiPriority w:val="34"/>
    <w:qFormat/>
    <w:rsid w:val="00C50390"/>
    <w:pPr>
      <w:ind w:left="720"/>
      <w:contextualSpacing/>
    </w:pPr>
  </w:style>
  <w:style w:type="paragraph" w:styleId="Header">
    <w:name w:val="header"/>
    <w:basedOn w:val="Normal"/>
    <w:link w:val="HeaderChar"/>
    <w:uiPriority w:val="99"/>
    <w:unhideWhenUsed/>
    <w:rsid w:val="00A91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CEA"/>
  </w:style>
  <w:style w:type="paragraph" w:styleId="BalloonText">
    <w:name w:val="Balloon Text"/>
    <w:basedOn w:val="Normal"/>
    <w:link w:val="BalloonTextChar"/>
    <w:uiPriority w:val="99"/>
    <w:semiHidden/>
    <w:unhideWhenUsed/>
    <w:rsid w:val="00322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1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262676">
      <w:bodyDiv w:val="1"/>
      <w:marLeft w:val="0"/>
      <w:marRight w:val="0"/>
      <w:marTop w:val="0"/>
      <w:marBottom w:val="0"/>
      <w:divBdr>
        <w:top w:val="none" w:sz="0" w:space="0" w:color="auto"/>
        <w:left w:val="none" w:sz="0" w:space="0" w:color="auto"/>
        <w:bottom w:val="none" w:sz="0" w:space="0" w:color="auto"/>
        <w:right w:val="none" w:sz="0" w:space="0" w:color="auto"/>
      </w:divBdr>
    </w:div>
    <w:div w:id="104510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9948</Words>
  <Characters>56707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HP</cp:lastModifiedBy>
  <cp:revision>7</cp:revision>
  <cp:lastPrinted>2025-09-09T10:30:00Z</cp:lastPrinted>
  <dcterms:created xsi:type="dcterms:W3CDTF">2025-08-22T07:47:00Z</dcterms:created>
  <dcterms:modified xsi:type="dcterms:W3CDTF">2025-09-29T11:53:00Z</dcterms:modified>
</cp:coreProperties>
</file>