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85" w:rsidRDefault="00E71085">
      <w:pPr>
        <w:spacing w:before="100" w:beforeAutospacing="1" w:after="100" w:afterAutospacing="1"/>
        <w:jc w:val="center"/>
        <w:outlineLvl w:val="1"/>
        <w:rPr>
          <w:rFonts w:ascii="Times New Roman" w:eastAsia="Times New Roman" w:hAnsi="Times New Roman" w:cs="Times New Roman"/>
          <w:b/>
          <w:bCs/>
          <w:color w:val="000000"/>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ATTITUDE OF SECONDARY SCHOOL STUDENTSTOWARDS SEX EDUCATION IN ILORIN WEST LOCAL GOVERNMENT </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BY</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ABDULSALAM LUBABAT AYINKE</w:t>
      </w: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KWCOED/IL/22/0089</w:t>
      </w: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RESEARCH PROJECT SUBMITTED TO THE DEPARTMENT OF INTEGRATED SCIENCES/ BIOLOGY SCHOOL OF SCIENCES, KWARA STATE COLLEGE OF EDUCATION, ILORIN.</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 PARTIAL FULFILLMENT OF THE REQUIREMENTS FOR THE AWARD OF NIGERIA CERTIFICATE IN EDUCATION (N.C.E)</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OCT,  2025</w:t>
      </w: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b/>
        <w:t>CERTIFICATION</w:t>
      </w: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This project has been read and approved as meeting the requirement of the Department of Integrated Sciences/ Biology, Kwara State College of Education Ilorin for the award of Nigeria Certificate in Education (NCE).</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______________</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_________</w:t>
      </w: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Project Supervisor</w:t>
      </w:r>
      <w:r>
        <w:rPr>
          <w:rFonts w:ascii="Times New Roman" w:eastAsia="Times New Roman" w:hAnsi="Times New Roman" w:cs="Times New Roman"/>
          <w:b/>
          <w:bCs/>
          <w:sz w:val="28"/>
          <w:szCs w:val="28"/>
        </w:rPr>
        <w:tab/>
        <w:t xml:space="preserve">               Signature</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Date</w:t>
      </w: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DR BELLO ZAKARIYAU   </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______________</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_________</w:t>
      </w: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Head of Department</w:t>
      </w:r>
      <w:r>
        <w:rPr>
          <w:rFonts w:ascii="Times New Roman" w:eastAsia="Times New Roman" w:hAnsi="Times New Roman" w:cs="Times New Roman"/>
          <w:b/>
          <w:bCs/>
          <w:sz w:val="28"/>
          <w:szCs w:val="28"/>
        </w:rPr>
        <w:tab/>
        <w:t xml:space="preserve">                            Signature</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Date</w:t>
      </w: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MR IBRAHIM H.B                      </w:t>
      </w:r>
      <w:r>
        <w:rPr>
          <w:rFonts w:ascii="Times New Roman" w:eastAsia="Times New Roman" w:hAnsi="Times New Roman" w:cs="Times New Roman"/>
          <w:b/>
          <w:bCs/>
          <w:sz w:val="28"/>
          <w:szCs w:val="28"/>
        </w:rPr>
        <w:tab/>
        <w:t>______________</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_________</w:t>
      </w: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Project Coordinator  </w:t>
      </w:r>
      <w:r>
        <w:rPr>
          <w:rFonts w:ascii="Times New Roman" w:eastAsia="Times New Roman" w:hAnsi="Times New Roman" w:cs="Times New Roman"/>
          <w:b/>
          <w:bCs/>
          <w:sz w:val="28"/>
          <w:szCs w:val="28"/>
        </w:rPr>
        <w:tab/>
        <w:t xml:space="preserve">                        Signature</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Date</w:t>
      </w: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DEDICATION</w:t>
      </w: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This work is dedicated to Almighty God, the source of my strength and wisdom, for His unending grace and guidance throughout this journey. </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jc w:val="center"/>
        <w:rPr>
          <w:rFonts w:ascii="Times New Roman" w:eastAsia="Times New Roman" w:hAnsi="Times New Roman" w:cs="Times New Roman"/>
          <w:b/>
          <w:bCs/>
          <w:sz w:val="28"/>
          <w:szCs w:val="28"/>
        </w:rPr>
      </w:pPr>
      <w:r>
        <w:rPr>
          <w:rFonts w:ascii="Times New Roman" w:hAnsi="Times New Roman" w:cs="Times New Roman"/>
          <w:b/>
          <w:bCs/>
          <w:sz w:val="28"/>
          <w:szCs w:val="28"/>
        </w:rPr>
        <w:lastRenderedPageBreak/>
        <w:t>ACKNOWLEDGEMENTS</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My deepest gratitude goes to God who has provided all that was need to complete the project and the program for which it was undertaken for. There was never lack or want throughout this entire study. He took care of everything that would have stopped me in my tracks and strengthened me even through my most difficult times. </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I appreciate the whole of integrated science/Biology lecturers for obeying the leading of God and birthing and nurturing the vision of this great Institution, kwara state college of education Ilorin.</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My sincere appreciation also goes to my supervisor Mrs ToheedatAlanamu whose contribution and constructive critism has pushed me to expend the kind of effort I have exerted to make this work as original as it can be. Thanks to her I have experienced true research and my knowledge on the subject matter has been broadened. I will never forget you ma. </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I also appreciate the effort of my best lecturer and also the HOD of our time DrBeeBee on astute man I very well admire who inspires me to go for the peak in my quest for knowledge. </w:t>
      </w:r>
    </w:p>
    <w:p w:rsidR="00E71085" w:rsidRDefault="00A91BD4">
      <w:pPr>
        <w:ind w:firstLine="720"/>
        <w:jc w:val="both"/>
        <w:rPr>
          <w:rFonts w:ascii="Times New Roman" w:hAnsi="Times New Roman" w:cs="Times New Roman"/>
          <w:sz w:val="28"/>
          <w:szCs w:val="28"/>
        </w:rPr>
      </w:pPr>
      <w:r>
        <w:rPr>
          <w:rFonts w:ascii="Times New Roman" w:hAnsi="Times New Roman" w:cs="Times New Roman"/>
          <w:sz w:val="28"/>
          <w:szCs w:val="28"/>
        </w:rPr>
        <w:t>My utmost regard also goes to my parents MrAbdulsalam Ibrahim and Mrs Ibrahim Balqis who painstakingly laid the foundation for my education givingit all it takes, I will forever be grateful to you.</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I appreciate my siblings; Abdulsalam Mubarak, Abdulsalam Adam, Abdulsalam Musa, AbdulsalamJaffar, Abdulsalam I Abdulsalam and Abdulsalamhadiza for their support too.</w:t>
      </w:r>
    </w:p>
    <w:p w:rsidR="00E71085" w:rsidRDefault="00A91BD4">
      <w:pPr>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Finally, I appreciate all my friends and well wishers, Bashir Hawau Akewusola, TiamiyuRodiatAyomide and OlabodeSukurat and my lovely family who one way or the other have been there and have continually prayed for my success. God bless</w:t>
      </w:r>
    </w:p>
    <w:p w:rsidR="00E71085" w:rsidRDefault="00E71085">
      <w:pPr>
        <w:ind w:firstLine="720"/>
        <w:jc w:val="both"/>
        <w:rPr>
          <w:rFonts w:ascii="Times New Roman" w:eastAsia="Times New Roman" w:hAnsi="Times New Roman" w:cs="Times New Roman"/>
          <w:b/>
          <w:bCs/>
          <w:sz w:val="28"/>
          <w:szCs w:val="28"/>
        </w:rPr>
      </w:pPr>
    </w:p>
    <w:p w:rsidR="00E71085" w:rsidRDefault="00E71085">
      <w:pPr>
        <w:ind w:firstLine="720"/>
        <w:jc w:val="both"/>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ABSTRACT</w:t>
      </w:r>
    </w:p>
    <w:p w:rsidR="00E71085" w:rsidRDefault="00A91BD4">
      <w:pPr>
        <w:spacing w:before="100" w:beforeAutospacing="1" w:after="100" w:afterAutospacing="1"/>
        <w:ind w:left="200"/>
        <w:outlineLvl w:val="1"/>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This study examines the attitude of secondary school students towards sex education in Ilorin West Local Government Area, Kwara State. The purpose of the study was to investigate students’ perceptions, level of awareness, and openness towards sex education, as well as the influence of factors such as gender, age, religion, and parental background on their attitudes. A descriptive survey design was adopted, and data were collected from a sample of secondary school students using a structured questionnaire. The data were analyzed using simple percentages and chi-square statistical methods to test the hypotheses. Findings revealed that while many students recognized the importance of sex education in promoting healthy behavior and preventing sexual-related problems, a considerable number still held negative or indifferent attitudes due to cultural and religious beliefs. The study concludes that proper implementation of sex education in schools, supported by teachers, parents, and religious leaders, is essential for improving students’ understanding of sexual health and responsible behavior. It was recommended that comprehensive sex education be integrated into the secondary school curriculum and that awareness campaigns be intensified to correct misconceptions and promote positive attitudes among students.</w:t>
      </w:r>
    </w:p>
    <w:p w:rsidR="00E71085" w:rsidRDefault="00A91BD4">
      <w:pPr>
        <w:spacing w:before="100" w:beforeAutospacing="1" w:after="100" w:afterAutospacing="1"/>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Keywords: </w:t>
      </w:r>
      <w:r>
        <w:rPr>
          <w:rFonts w:ascii="Times New Roman" w:eastAsia="Times New Roman" w:hAnsi="Times New Roman" w:cs="Times New Roman"/>
          <w:sz w:val="28"/>
          <w:szCs w:val="28"/>
        </w:rPr>
        <w:t>Sex education, Students’ attitude, Secondary schools, Ilorin West, Adolescents.</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CHAPTER ONE</w:t>
      </w:r>
    </w:p>
    <w:p w:rsidR="00E71085" w:rsidRDefault="00A91BD4">
      <w:pPr>
        <w:spacing w:before="100" w:beforeAutospacing="1" w:after="100" w:afterAutospacing="1"/>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INTRODUCTION                  </w:t>
      </w:r>
    </w:p>
    <w:p w:rsidR="00E71085" w:rsidRDefault="00E71085">
      <w:pPr>
        <w:spacing w:before="100" w:beforeAutospacing="1" w:after="100" w:afterAutospacing="1"/>
        <w:jc w:val="both"/>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 Background of the Study</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Sex education is increasingly recognized as an essential component of adolescent health education, particularly in developing countries where misinformation about sexuality is widespread (UNESCO, 2018). Adolescents are often exposed to sexual content through peers, social media, and pop culture long before they receive any formal education on the subject. Without reliable information, they are vulnerable to sexually transmitted infections (STIs), unintended pregnancies, and sexual abuse (Asekun-Olarinmoye 2022; Nwankwo 2023). In Nigeria, where cultural and religious sentiments can either support or impede reproductive health education, the attitudes of students toward sex education are especially critical. Understanding these attitudes is essential for policymakers, school administrators, and health educators seeking to implement comprehensive, context-sensitive curricula.</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Sex education interventions in Ilorin have proven effective. Esere (2020) demonstrated that targeted instruction led to a statistically significant decrease in high-risk behaviors among adolescents. However, a key issue remains: coverage is often fragmented, uncoordinated, or absent in some schools due to inconsistent policy implementation or teacher discomfort (</w:t>
      </w:r>
      <w:r>
        <w:rPr>
          <w:rFonts w:ascii="Times New Roman" w:hAnsi="Times New Roman" w:cs="Times New Roman"/>
          <w:sz w:val="28"/>
          <w:szCs w:val="28"/>
        </w:rPr>
        <w:t>Salami, 2021</w:t>
      </w:r>
      <w:r>
        <w:rPr>
          <w:rFonts w:ascii="Times New Roman" w:eastAsia="Times New Roman" w:hAnsi="Times New Roman" w:cs="Times New Roman"/>
          <w:sz w:val="28"/>
          <w:szCs w:val="28"/>
        </w:rPr>
        <w:t>).</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 Statement of the Problem</w:t>
      </w:r>
    </w:p>
    <w:p w:rsidR="00E71085" w:rsidRDefault="00A91BD4">
      <w:pPr>
        <w:pStyle w:val="NormalWeb"/>
        <w:spacing w:line="276" w:lineRule="auto"/>
        <w:ind w:firstLine="720"/>
        <w:jc w:val="both"/>
        <w:rPr>
          <w:sz w:val="28"/>
          <w:szCs w:val="28"/>
        </w:rPr>
      </w:pPr>
      <w:r>
        <w:rPr>
          <w:sz w:val="28"/>
          <w:szCs w:val="28"/>
        </w:rPr>
        <w:t xml:space="preserve">Sex education is included in Nigeria’s national education policy under the Family Life and HIV Education (FLHE) framework; however, its implementation remains inconsistent and often ineffective, particularly in Ilorin West Local Government Area. Several schools either omit it entirely or provide fragmented, poorly taught content due to lack of trained teachers, cultural sensitivities, or inadequate instructional materials (UNFPA Nigeria, 2020; Esere, 2020). Although </w:t>
      </w:r>
      <w:r>
        <w:rPr>
          <w:sz w:val="28"/>
          <w:szCs w:val="28"/>
        </w:rPr>
        <w:lastRenderedPageBreak/>
        <w:t>secondary school students in the region show considerable interest in learning about sexual health often due to curiosity, peer influence, or early exposure to sexual content via media their understanding is typically shallow and occasionally shaped by myths or misinformation.</w:t>
      </w:r>
    </w:p>
    <w:p w:rsidR="00E71085" w:rsidRDefault="00A91BD4">
      <w:pPr>
        <w:pStyle w:val="NormalWeb"/>
        <w:spacing w:line="276" w:lineRule="auto"/>
        <w:ind w:firstLine="720"/>
        <w:jc w:val="both"/>
        <w:rPr>
          <w:sz w:val="28"/>
          <w:szCs w:val="28"/>
        </w:rPr>
      </w:pPr>
      <w:r>
        <w:rPr>
          <w:sz w:val="28"/>
          <w:szCs w:val="28"/>
        </w:rPr>
        <w:t>Misinformation can stem from unreliable sources such as peers, social media, or community rumors, which students may rely on in the absence of structured guidance (Ajiboye&amp;Olatunde, 2022). Cultural and religious norms also act as double-edged swords: while some promote abstinence and moral uprightness, others discourage open conversations about sexuality, leaving young people confused and unprepared. Consequently, adolescents in Ilorin West continue to engage in risky behaviors such as unprotected sex, early sexual debut, and multiple partnerships which contribute to a rise in sexually transmitted infections (STIs), teenage pregnancies, school dropouts, and unsafe abortions (Nwankwo , 2023).</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 Purpose of the Study</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primary purpose of this study is to examine the attitudes of secondary school students in Ilorin West Local Government Area towards sex education. Specifically, the study aims to assess how these attitudes influence students’ knowledge, perceptions, and behaviors related to sexual and reproductive health. Additionally, the study seeks to identify the barriers to effective sex education implementation, including cultural, religious, and institutional factors such as teacher preparedness and availability of instructional materials.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exploring these issues, the research intends to provide valuable insights that can inform policymakers, educators, and health practitioners in designing and implementing comprehensive, culturally sensitive, and effective sex education programs. Ultimately, the study aims to contribute to improving adolescent sexual health outcomes, reducing risky sexual behaviors, and fostering informed decision-making among young people in Ilorin West.</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 Research Questions</w:t>
      </w:r>
    </w:p>
    <w:p w:rsidR="00E71085" w:rsidRDefault="00A91BD4">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What level of knowledge do secondary school students in Ilorin West have about sex education?</w:t>
      </w:r>
    </w:p>
    <w:p w:rsidR="00E71085" w:rsidRDefault="00A91BD4">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the prevailing attitudes of these students toward sex education?</w:t>
      </w:r>
    </w:p>
    <w:p w:rsidR="00E71085" w:rsidRDefault="00A91BD4">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Are demographic factors significantly associated with these attitudes?</w:t>
      </w:r>
    </w:p>
    <w:p w:rsidR="00E71085" w:rsidRDefault="00A91BD4">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do students perceive the role and benefits of sex education in their lives?</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 Research Hypotheses</w:t>
      </w:r>
    </w:p>
    <w:p w:rsidR="00E71085" w:rsidRDefault="00A91BD4">
      <w:pPr>
        <w:numPr>
          <w:ilvl w:val="0"/>
          <w:numId w:val="3"/>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w:t>
      </w:r>
      <w:r>
        <w:rPr>
          <w:rFonts w:ascii="Cambria Math" w:eastAsia="Times New Roman" w:hAnsi="Cambria Math" w:cs="Times New Roman"/>
          <w:b/>
          <w:bCs/>
          <w:sz w:val="28"/>
          <w:szCs w:val="28"/>
        </w:rPr>
        <w:t>₀</w:t>
      </w:r>
      <w:r>
        <w:rPr>
          <w:rFonts w:ascii="Times New Roman" w:eastAsia="Times New Roman" w:hAnsi="Times New Roman" w:cs="Times New Roman"/>
          <w:sz w:val="28"/>
          <w:szCs w:val="28"/>
        </w:rPr>
        <w:t>: There is no significant relationship between students’ knowledge of sex education and their attitude toward it.</w:t>
      </w:r>
    </w:p>
    <w:p w:rsidR="00E71085" w:rsidRDefault="00A91BD4">
      <w:pPr>
        <w:spacing w:before="100" w:beforeAutospacing="1" w:after="100" w:afterAutospacing="1"/>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w:t>
      </w:r>
      <w:r>
        <w:rPr>
          <w:rFonts w:ascii="Cambria Math" w:eastAsia="Times New Roman" w:hAnsi="Cambria Math" w:cs="Times New Roman"/>
          <w:b/>
          <w:bCs/>
          <w:sz w:val="28"/>
          <w:szCs w:val="28"/>
        </w:rPr>
        <w:t>₁</w:t>
      </w:r>
      <w:r>
        <w:rPr>
          <w:rFonts w:ascii="Times New Roman" w:eastAsia="Times New Roman" w:hAnsi="Times New Roman" w:cs="Times New Roman"/>
          <w:sz w:val="28"/>
          <w:szCs w:val="28"/>
        </w:rPr>
        <w:t>: There is a significant relationship between students’ knowledge of sex education and their attitude toward it</w:t>
      </w:r>
    </w:p>
    <w:p w:rsidR="00E71085" w:rsidRDefault="00A91BD4">
      <w:pPr>
        <w:pStyle w:val="ListParagraph"/>
        <w:numPr>
          <w:ilvl w:val="0"/>
          <w:numId w:val="3"/>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H</w:t>
      </w:r>
      <w:r>
        <w:rPr>
          <w:rFonts w:ascii="Cambria Math" w:eastAsia="Times New Roman" w:hAnsi="Cambria Math" w:cs="Times New Roman"/>
          <w:b/>
          <w:bCs/>
          <w:sz w:val="28"/>
          <w:szCs w:val="28"/>
        </w:rPr>
        <w:t>₀</w:t>
      </w:r>
      <w:r>
        <w:rPr>
          <w:rFonts w:ascii="Times New Roman" w:eastAsia="Times New Roman" w:hAnsi="Times New Roman" w:cs="Times New Roman"/>
          <w:sz w:val="28"/>
          <w:szCs w:val="28"/>
        </w:rPr>
        <w:t>: Students’ demographic characteristics (e.g., age, gender, educational level) do not significantly influence their attitudes</w:t>
      </w:r>
    </w:p>
    <w:p w:rsidR="00E71085" w:rsidRDefault="00A91BD4">
      <w:pPr>
        <w:spacing w:before="100" w:beforeAutospacing="1" w:after="100" w:afterAutospacing="1"/>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 xml:space="preserve">    H</w:t>
      </w:r>
      <w:r>
        <w:rPr>
          <w:rFonts w:ascii="Cambria Math" w:eastAsia="Times New Roman" w:hAnsi="Cambria Math" w:cs="Times New Roman"/>
          <w:b/>
          <w:bCs/>
          <w:sz w:val="28"/>
          <w:szCs w:val="28"/>
        </w:rPr>
        <w:t>₁</w:t>
      </w:r>
      <w:r>
        <w:rPr>
          <w:rFonts w:ascii="Times New Roman" w:eastAsia="Times New Roman" w:hAnsi="Times New Roman" w:cs="Times New Roman"/>
          <w:sz w:val="28"/>
          <w:szCs w:val="28"/>
        </w:rPr>
        <w:t>: Students’ demographic characteristics significantly influence their attitudes toward sex education.</w:t>
      </w:r>
    </w:p>
    <w:p w:rsidR="00E71085" w:rsidRDefault="00E71085">
      <w:pPr>
        <w:spacing w:before="100" w:beforeAutospacing="1" w:after="100" w:afterAutospacing="1"/>
        <w:jc w:val="both"/>
        <w:rPr>
          <w:rFonts w:ascii="Times New Roman" w:eastAsia="Times New Roman" w:hAnsi="Times New Roman" w:cs="Times New Roman"/>
          <w:sz w:val="28"/>
          <w:szCs w:val="28"/>
        </w:rPr>
      </w:pP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1.6 Significance of the Study</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is significant in several aspects. It contributes to the literature on adolescent sexual health education in Nigeria, particularly in a less-studied region like Ilorin West. It provides actionable insights for curriculum developers and educational planners. The findings can guide teacher training initiatives, helping educators overcome discomfort and teach sexuality-related topics more effectively. It may help dispel myths and foster open communication between students, teachers, and parents on sexual and reproductive health.</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 Scope and Delimitations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Scope:</w:t>
      </w:r>
    </w:p>
    <w:p w:rsidR="00E71085" w:rsidRDefault="00A91BD4">
      <w:pPr>
        <w:numPr>
          <w:ilvl w:val="0"/>
          <w:numId w:val="4"/>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study focuses exclusively on secondary school students (JSS1 to SS3) in public and private schools in Ilorin West LGA.</w:t>
      </w:r>
    </w:p>
    <w:p w:rsidR="00E71085" w:rsidRDefault="00A91BD4">
      <w:pPr>
        <w:numPr>
          <w:ilvl w:val="0"/>
          <w:numId w:val="4"/>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 male and female students will be included, across various age brackets (10–19 years).</w:t>
      </w:r>
    </w:p>
    <w:p w:rsidR="00E71085" w:rsidRDefault="00A91BD4">
      <w:pPr>
        <w:numPr>
          <w:ilvl w:val="0"/>
          <w:numId w:val="4"/>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will examine knowledge levels, attitudes, and the influence of demographic variables.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Delimitations:</w:t>
      </w:r>
    </w:p>
    <w:p w:rsidR="00E71085" w:rsidRDefault="00A91BD4">
      <w:pPr>
        <w:numPr>
          <w:ilvl w:val="0"/>
          <w:numId w:val="5"/>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excludes students in primary and tertiary institutions.</w:t>
      </w:r>
    </w:p>
    <w:p w:rsidR="00E71085" w:rsidRDefault="00A91BD4">
      <w:pPr>
        <w:numPr>
          <w:ilvl w:val="0"/>
          <w:numId w:val="5"/>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Cultural, religious, and parental variables are not deeply explored beyond their indirect influence.</w:t>
      </w:r>
    </w:p>
    <w:p w:rsidR="00E71085" w:rsidRDefault="00A91BD4">
      <w:pPr>
        <w:numPr>
          <w:ilvl w:val="0"/>
          <w:numId w:val="5"/>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adopts a cross-sectional design, capturing a single point in time.</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Ethical Considerations:</w:t>
      </w:r>
    </w:p>
    <w:p w:rsidR="00E71085" w:rsidRDefault="00A91BD4">
      <w:pPr>
        <w:numPr>
          <w:ilvl w:val="0"/>
          <w:numId w:val="6"/>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Informed consent will be obtained from school authorities, parents, and students.</w:t>
      </w:r>
    </w:p>
    <w:p w:rsidR="00E71085" w:rsidRDefault="00A91BD4">
      <w:pPr>
        <w:numPr>
          <w:ilvl w:val="0"/>
          <w:numId w:val="6"/>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Participation will be voluntary and anonymity assured.</w:t>
      </w:r>
    </w:p>
    <w:p w:rsidR="00E71085" w:rsidRDefault="00A91BD4">
      <w:pPr>
        <w:numPr>
          <w:ilvl w:val="0"/>
          <w:numId w:val="6"/>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Ethical approval will be sought from relevant academic and educational bodies.</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1.8 Operational Definitions</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Style w:val="Strong"/>
          <w:rFonts w:ascii="Times New Roman" w:hAnsi="Times New Roman" w:cs="Times New Roman"/>
          <w:sz w:val="28"/>
          <w:szCs w:val="28"/>
        </w:rPr>
        <w:t>Secondary School:</w:t>
      </w:r>
      <w:r>
        <w:rPr>
          <w:rFonts w:ascii="Times New Roman" w:hAnsi="Times New Roman" w:cs="Times New Roman"/>
          <w:sz w:val="28"/>
          <w:szCs w:val="28"/>
        </w:rPr>
        <w:t xml:space="preserve"> An educational institution that provides intermediate education typically for students aged between 11 and 18 years, serving as a bridge between primary education and tertiary education.</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Sex Education</w:t>
      </w:r>
      <w:r>
        <w:rPr>
          <w:rFonts w:ascii="Times New Roman" w:eastAsia="Times New Roman" w:hAnsi="Times New Roman" w:cs="Times New Roman"/>
          <w:sz w:val="28"/>
          <w:szCs w:val="28"/>
        </w:rPr>
        <w:t>: A formal program that provides information about human sexuality, reproductive health, consent, contraception, and prevention of STIs and unintended pregnancies.</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Attitude</w:t>
      </w:r>
      <w:r>
        <w:rPr>
          <w:rFonts w:ascii="Times New Roman" w:eastAsia="Times New Roman" w:hAnsi="Times New Roman" w:cs="Times New Roman"/>
          <w:sz w:val="28"/>
          <w:szCs w:val="28"/>
        </w:rPr>
        <w:t>: The feelings, beliefs, and behavioral tendencies that students express regarding sex education.</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Knowledge</w:t>
      </w:r>
      <w:r>
        <w:rPr>
          <w:rFonts w:ascii="Times New Roman" w:eastAsia="Times New Roman" w:hAnsi="Times New Roman" w:cs="Times New Roman"/>
          <w:sz w:val="28"/>
          <w:szCs w:val="28"/>
        </w:rPr>
        <w:t>: The factual and conceptual understanding students have about sexual health topics.</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FLHE (Family Life and HIV Education)</w:t>
      </w:r>
      <w:r>
        <w:rPr>
          <w:rFonts w:ascii="Times New Roman" w:eastAsia="Times New Roman" w:hAnsi="Times New Roman" w:cs="Times New Roman"/>
          <w:sz w:val="28"/>
          <w:szCs w:val="28"/>
        </w:rPr>
        <w:t>: A Nigerian national curriculum designed to equip adolescents with life skills and sexual health knowledge.</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At-Risk Behavior</w:t>
      </w:r>
      <w:r>
        <w:rPr>
          <w:rFonts w:ascii="Times New Roman" w:eastAsia="Times New Roman" w:hAnsi="Times New Roman" w:cs="Times New Roman"/>
          <w:sz w:val="28"/>
          <w:szCs w:val="28"/>
        </w:rPr>
        <w:t>: Actions that increase the likelihood of negative sexual health outcomes, such as early sexual debut, unprotected sex, and multiple partners.</w:t>
      </w:r>
    </w:p>
    <w:p w:rsidR="00E71085" w:rsidRDefault="00A91BD4">
      <w:pPr>
        <w:numPr>
          <w:ilvl w:val="0"/>
          <w:numId w:val="7"/>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Student</w:t>
      </w:r>
      <w:r>
        <w:rPr>
          <w:rFonts w:ascii="Times New Roman" w:eastAsia="Times New Roman" w:hAnsi="Times New Roman" w:cs="Times New Roman"/>
          <w:sz w:val="28"/>
          <w:szCs w:val="28"/>
        </w:rPr>
        <w:t>: An individual who is actively engaged in learning, typically in an academic environment such as school, college or university.</w:t>
      </w: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E71085">
      <w:pPr>
        <w:spacing w:before="100" w:beforeAutospacing="1" w:after="100" w:afterAutospacing="1"/>
        <w:jc w:val="center"/>
        <w:outlineLvl w:val="1"/>
        <w:rPr>
          <w:rFonts w:ascii="Times New Roman" w:eastAsia="Times New Roman" w:hAnsi="Times New Roman" w:cs="Times New Roman"/>
          <w:b/>
          <w:bCs/>
          <w:sz w:val="28"/>
          <w:szCs w:val="28"/>
        </w:rPr>
      </w:pPr>
    </w:p>
    <w:p w:rsidR="00E71085" w:rsidRDefault="00A91BD4">
      <w:pPr>
        <w:spacing w:before="100" w:beforeAutospacing="1" w:after="100" w:afterAutospacing="1"/>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TWO</w:t>
      </w:r>
    </w:p>
    <w:p w:rsidR="00E71085" w:rsidRDefault="00A91BD4">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LITERATURE REVIEW</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Introduction</w:t>
      </w:r>
    </w:p>
    <w:p w:rsidR="00E71085" w:rsidRDefault="00A91BD4">
      <w:pPr>
        <w:spacing w:before="100" w:beforeAutospacing="1" w:after="100" w:afterAutospacing="1"/>
        <w:ind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This chapter deals with review of related studies, done under the following sub-headings</w:t>
      </w:r>
      <w:r>
        <w:rPr>
          <w:rFonts w:ascii="Times New Roman" w:hAnsi="Times New Roman" w:cs="Times New Roman"/>
          <w:color w:val="000000"/>
          <w:sz w:val="28"/>
          <w:szCs w:val="28"/>
        </w:rPr>
        <w:t xml:space="preserve">: </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 Conceptual Framework of Sex Education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2.2 Knowledge and Attitudes of Secondary School Students in Nigeria Towards Sex Education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Effectiveness of School-Based Sex Education in Ilorin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 Students’ Perceptions and Roles of Sex Education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 Gender and Demographic Influences on Attitudes of Students Towards Sex Education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 Cultural &amp; Family Context of Secondary School Students Toward Sex Education</w:t>
      </w:r>
    </w:p>
    <w:p w:rsidR="00E71085" w:rsidRDefault="00A91BD4">
      <w:pPr>
        <w:spacing w:before="100" w:beforeAutospacing="1" w:after="100" w:afterAutospacing="1"/>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 Summary</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Conceptual Framework of Sex Education</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Sex education is broadly defined as the comprehensive instruction on human sexuality, including anatomy, reproduction, contraception, prevention of sexually transmitted infections (STIs) including HIV, and fostering healthy interpersonal relationships (UNESCO, 2021). Two primary approaches exist: Abstinence-Only Education (AOE) and Comprehensive Sex Education (CSE). AOE focuses solely on promoting abstinence until marriage and often excludes information on contraception or sexual rights. Numerous systematic reviews have demonstrated that AOE is largely ineffective in reducing rates of adolescent pregnancy or STIs and may even contribute to misinformation (Santelli, 2019). Conversely, CSE incorporates knowledge about contraception, consent, gender equity, and human rights, which correlate with delayed sexual debut, increased contraceptive use, and reduced risky behaviors (WHO, 2020). Effective CSE also addresses social power dynamics and gender norms, empowering students to make informed decisions about their sexual health (Blake, 2022). In Nigeria, however, the implementation of CSE is often hindered by cultural resistance and lack of teacher training, limiting its potential impact (Fawole, 2020).</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Knowledge and Attitudes of Secondary School Students on sex education in Nigeria </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Research consistently reveals a disparity between students’ knowledge and attitudes toward sex education in Nigeria. A study in southwestern Nigeria found that 82.1% of secondary school students possessed good knowledge about sex education topics, including contraception and STI prevention, but only 57.5% exhibited positive attitudes toward the subject, indicating reluctance or discomfort with open discussion (Adegbite, 2021). The study also showed that older students tend to have better knowledge, possibly due to increased exposure to formal education or peer discussions.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in Port Harcourt, while 90.5% of adolescents were aware of sex education, only 40.1% actively engaged in conversations about sexuality, and dteachers were seldom cited as reliable sources, suggesting significant gaps in delivery and trust between students and educators (Okafor &amp;Eze, 2022). This indicates that awareness alone is insufficient for positive attitudinal change, and tailored strategies are needed to enhance receptivity.</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 studies support this finding, revealing that many students associate sex education with taboo or shame, which discourages open communication and learning (Oladejo&amp;Adeoye, 2023). Furthermore, gender differences exist in attitudes; female students often report more negative attitudes toward sex education, influenced by cultural norms emphasizing chastity and modesty (Umar &amp; Bello, 2023). This gendered disparity further complicates efforts to provide equitable and comprehensive education.</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socio-economic factors such as parental education, urban versus rural residence, and access to media influence students' knowledge and attitudes. For instance, students from urban areas or with parents who are educated tend to have higher knowledge levels and more positive attitudes towards sex education compared to their rural counterparts (Akinwale&amp;Ajayi, 2022).</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the role of schools and educators is pivotal. The effectiveness of sex education programs depends largely on teachers' attitudes and competencies. Studies have shown that where teachers feel inadequately trained or uncomfortable discussing sexual matters, students’ engagement and positive attitudes suffer (Chukwu&amp;Okeke, 2021). Therefore, strengthening teacher training and creating </w:t>
      </w:r>
      <w:r>
        <w:rPr>
          <w:rFonts w:ascii="Times New Roman" w:eastAsia="Times New Roman" w:hAnsi="Times New Roman" w:cs="Times New Roman"/>
          <w:sz w:val="28"/>
          <w:szCs w:val="28"/>
        </w:rPr>
        <w:lastRenderedPageBreak/>
        <w:t>supportive school environments are crucial steps toward improving students' knowledge and attitudes.</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Effectiveness of School-Based Sex Education in Ilorin</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Targeted school-based interventions in Ilorin have demonstrated promising results in improving adolescent sexual health. A controlled study involving adolescents aged 13–19 reported significant reductions in risky sexual behaviors—such as unprotected intercourse, multiple sexual partners, and transactional sex—following structured sex education sessions (Esere, 2020). The intervention also led to a marked increase in knowledge about contraceptive methods, STI symptoms, and the importance of consent and healthy relationships, reinforcing the critical role  vfschools can play in providing accurate, age-appropriate information.</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evidence from recent pilot programs in Kwara State, including Ilorin West LGA, suggests that comprehensive sex education (CSE) delivered through a culturally adapted curriculum leads to both short- and long-term improvements in students' decision-making, self-esteem, and communication skills (Salami &amp; Adebayo, 2022). These programs often integrate interactive teaching methods such as role-playing, group discussions, and peer-led sessions, which enhance engagement and knowledge retention.</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a 2023 study by Owolabi found that students who participated in well-structured FLHE (Family Life and HIV Education) lessons were 40% more likely to delay sexual debut compared to their peers who had no exposure to formal sex education. The same study highlighted improvements in students’ confidence in accessing health services and negotiating safer sexual practices, indicating that the benefits of school-based sex education extend beyond the classroom.</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these encouraging outcomes, implementation remains uneven. Many public schools in Ilorin either do not offer sex education at all or deliver fragmented content due to multiple constraints. These include a shortage of trained and willing teachers, lack of standardized instructional materials, and resistance from school administrators, parents, and religious leaders who view sex education as morally inappropriate or culturally taboo (Olatunde&amp; Musa, 2022).</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some cases, teachers express personal discomfort or lack the professional capacity to discuss sensitive topics effectively, leading to superficial or biased coverage (Chinwe&amp;Adedoyin, 2021). Additionally, many schools lack monitoring and evaluation mechanisms to assess the quality and impact of the sex education being delivered, which limits program scalability and improvement.</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Nevertheless, experts agree that scaling up comprehensive, evidence-based sex education across Ilorin schools—combined with sustained teacher training, parental involvement, and community sensitization—has the potential to significantly reduce the prevalence of adolescent sexual health problems such as unintended pregnancies, unsafe abortions, and sexually transmitted infections (Afolabi&amp;Jimoh, 2023).</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 Students’ Perceptions and Roles of Sex Education</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Adolescents’ perceptions about the purpose and value of sex education are critical determinants of how effectively such programs are received and internalized. When students perceive sex education as relevant and beneficial, they are more likely to engage with the content, retain knowledge, and apply it to real-life situations. Conversely, if they see it as irrelevant, uncomfortable, or morally questionable, their participation and learning outcomes may be significantly hindered. A large-scale survey of 480 secondary school students in Ilorin Metropolis found that the majority view sex education as essential for preventing unwanted pregnancies, sexually transmitted infections (STIs), and risky sexual behaviors. Statistical analysis (χ² &gt; 300, </w:t>
      </w:r>
      <w:r>
        <w:rPr>
          <w:rFonts w:ascii="Times New Roman" w:eastAsia="Times New Roman" w:hAnsi="Times New Roman" w:cs="Times New Roman"/>
          <w:i/>
          <w:iCs/>
          <w:sz w:val="28"/>
          <w:szCs w:val="28"/>
        </w:rPr>
        <w:t>p</w:t>
      </w:r>
      <w:r>
        <w:rPr>
          <w:rFonts w:ascii="Times New Roman" w:eastAsia="Times New Roman" w:hAnsi="Times New Roman" w:cs="Times New Roman"/>
          <w:sz w:val="28"/>
          <w:szCs w:val="28"/>
        </w:rPr>
        <w:t>&lt; 0.01) confirmed these perceptions were strongly and widely held across gender and age groups (Adeyemi&amp;Ogunleye, 2022). Students also identified sex education as a means of promoting respect for personal boundaries, improving communication about consent, and reducing peer pressure.</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similar study conducted in Obio/Akpor Local Government Area, Rivers State, 91.9% of adolescents reported receiving sex education primarily through school programs, and over 96% expressed strong support for its continued inclusion in school curricula (Uzochukwu, 2021). This level of endorsement reflects growing recognition among Nigerian youths of the relevance of sex </w:t>
      </w:r>
      <w:r>
        <w:rPr>
          <w:rFonts w:ascii="Times New Roman" w:eastAsia="Times New Roman" w:hAnsi="Times New Roman" w:cs="Times New Roman"/>
          <w:sz w:val="28"/>
          <w:szCs w:val="28"/>
        </w:rPr>
        <w:lastRenderedPageBreak/>
        <w:t>education to their everyday lives, particularly in the face of rising cases of teenage pregnancies, sexual abuse, and misinformation from peer groups and social media.</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also increasingly acknowledge the role of sex education in addressing issues beyond basic reproductive health. Research by Musa &amp; Lawal (2023) found that secondary students in Kwara State believe sex education should also address topics such as sexual consent, online safety, gender-based violence, and emotional well-being. These perceptions align with global best practices in Comprehensive Sexuality Education (CSE), which emphasize the development of critical life skills alongside biological knowledge.</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gaps remain. Despite positive perceptions, some students report feeling uncomfortable during sex education classes due to the delivery methods or the presence of mixed-gender settings. This discomfort is often exacerbated by teacher-centered instruction that discourages open discussion or avoids culturally sensitive topics altogether (Ajiboye&amp;Alabi, 2021). Furthermore, students in more conservative or rural communities may internalize conflicting messages from religious institutions, families, or cultural norms that discourage open conversations about sexuality, thereby creating cognitive dissonance.</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students' role in advocating for improved sex education is increasingly evident. In some schools, peer-led initiatives and youth health clubs have emerged as effective platforms for fostering dialogue and encouraging participation (Nwachukwu&amp;Okorie, 2022). These programs demonstrate that when students are empowered to take active roles—such as peer education, feedback on curriculum relevance, or involvement in awareness campaigns—the outcomes of sex education programs improve significantly.</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Gender and Demographic Influences on Attitudes of Students Towards Sex Education</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Gender and demographic factors play a pivotal role in shaping students' attitudes towards sex education, influencing not only how the subject is perceived but also how effectively it is internalized. These factors include gender identity, age, socio-economic status, religious affiliation, parental background, and </w:t>
      </w:r>
      <w:r>
        <w:rPr>
          <w:rFonts w:ascii="Times New Roman" w:eastAsia="Times New Roman" w:hAnsi="Times New Roman" w:cs="Times New Roman"/>
          <w:sz w:val="28"/>
          <w:szCs w:val="28"/>
        </w:rPr>
        <w:lastRenderedPageBreak/>
        <w:t>geographic location (urban vs. rural), all of which contribute to a complex social context in which sex education is received.</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Research from Ebonyi State reveals that female students generally exhibited more positive attitudes toward sex education compared to their male counterparts. This is likely due to a heightened sense of vulnerability to sexual health risks such as teenage pregnancy, sexual exploitation, and sexually transmitted infections (Eze&amp;Nwankwo, 2022). Girls are often socialized to be more cautious and are more likely to view sex education as protective and empowering. In contrast, boys may see the subject as unnecessary or stigmatized due to peer pressure or masculine stereotypes that discourage openness about sexual health (Ibrahim &amp; Salami, 2021).</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Furthermore, religious affiliation continues to significantly predict attitudes. Chukwu&amp; Obi (2020) found that students from conservative religious backgrounds, particularly those attending faith-based schools, were more likely to express discomfort or disapproval of open discussions about sex education. In contrast, students from more liberal religious traditions, or those attending public schools in urban areas, generally showed higher acceptance. This pattern is consistent with global trends where religious conservatism often correlates with restricted access to or resistance toward comprehensive sexuality education (UNESCO, 2021).</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Educational level is also a determining factor. Older students, particularly those in senior secondary school, tend to demonstrate more favorable attitudes and better understanding of sexual health topics, likely due to greater exposure to biology courses, peer discussions, or external information sources such as the internet and media (Ojo&amp;Adegbite, 2022). This suggests the need to introduce sex education progressively and age-appropriately, beginning early in secondary education to maximize its impact.</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Parental and familial demographics further shape students’ attitudes. According to Oladele&amp;Adegoke (2019), students from households where parents are more educated, employed in professional occupations, and reside in urban areas are more likely to hold positive views about sex education. These parents are also more likely to engage in open conversations about reproductive health, thereby </w:t>
      </w:r>
      <w:r>
        <w:rPr>
          <w:rFonts w:ascii="Times New Roman" w:eastAsia="Times New Roman" w:hAnsi="Times New Roman" w:cs="Times New Roman"/>
          <w:sz w:val="28"/>
          <w:szCs w:val="28"/>
        </w:rPr>
        <w:lastRenderedPageBreak/>
        <w:t>reinforcing what is taught in schools. In contrast, students from low-income or rural households often experience silence or stigma around sexual issues, which can foster fear, ignorance, or resistance toward school-based instruction.</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 recent study conducted in Kwara State, socio-economic status and ethnicity emerged as significant factors influencing sex education acceptance. Students from Yoruba ethnic backgrounds reported slightly higher openness to sex education, potentially reflecting greater exposure to health campaigns in the southwest region (Bello &amp;Ajibola, 2023). Meanwhile, students from Hausa-speaking northern communities expressed greater skepticism, often reflecting prevailing community norms that frame such topics as inappropriate or culturally taboo.</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gendered and demographic nuances underscore the importance of tailoring sex education programs to reflect the diverse realities of Nigerian students. A one-size-fits-all approach may alienate or exclude certain groups. Culturally sensitive, gender-responsive, and demographically informed strategies are therefore essential for ensuring equitable access and receptivity to sex education across varied student populations.</w:t>
      </w:r>
    </w:p>
    <w:p w:rsidR="00E71085" w:rsidRDefault="00E71085">
      <w:pPr>
        <w:pStyle w:val="Heading3"/>
        <w:spacing w:line="276" w:lineRule="auto"/>
        <w:jc w:val="both"/>
        <w:rPr>
          <w:sz w:val="28"/>
          <w:szCs w:val="28"/>
        </w:rPr>
      </w:pPr>
    </w:p>
    <w:p w:rsidR="00E71085" w:rsidRDefault="00A91BD4">
      <w:pPr>
        <w:pStyle w:val="Heading3"/>
        <w:spacing w:line="276" w:lineRule="auto"/>
        <w:jc w:val="both"/>
        <w:rPr>
          <w:sz w:val="28"/>
          <w:szCs w:val="28"/>
        </w:rPr>
      </w:pPr>
      <w:r>
        <w:rPr>
          <w:sz w:val="28"/>
          <w:szCs w:val="28"/>
        </w:rPr>
        <w:t>2.6 Cultural and Family Context of Secondary School Students Toward Sex Education</w:t>
      </w:r>
    </w:p>
    <w:p w:rsidR="00E71085" w:rsidRDefault="00A91BD4">
      <w:pPr>
        <w:pStyle w:val="NormalWeb"/>
        <w:spacing w:line="276" w:lineRule="auto"/>
        <w:ind w:firstLine="720"/>
        <w:jc w:val="both"/>
        <w:rPr>
          <w:sz w:val="28"/>
          <w:szCs w:val="28"/>
        </w:rPr>
      </w:pPr>
      <w:r>
        <w:rPr>
          <w:sz w:val="28"/>
          <w:szCs w:val="28"/>
        </w:rPr>
        <w:t>The cultural and familial environment in which Nigerian adolescents are raised plays a foundational role in shaping their understanding of sexuality, their openness to sex education, and their sexual decision-making. Cultural norms, religious ideologies, socio-economic background, and family communication styles collectively determine how sex education is received, internalized, or resisted among secondary school students. The factors are:</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1. </w:t>
      </w:r>
      <w:r>
        <w:rPr>
          <w:rStyle w:val="Strong"/>
          <w:rFonts w:ascii="Times New Roman" w:hAnsi="Times New Roman" w:cs="Times New Roman"/>
          <w:b/>
          <w:bCs/>
          <w:sz w:val="28"/>
          <w:szCs w:val="28"/>
        </w:rPr>
        <w:t>Parental Influence and Communication Patterns</w:t>
      </w:r>
    </w:p>
    <w:p w:rsidR="00E71085" w:rsidRDefault="00A91BD4">
      <w:pPr>
        <w:pStyle w:val="NormalWeb"/>
        <w:spacing w:line="276" w:lineRule="auto"/>
        <w:jc w:val="both"/>
        <w:rPr>
          <w:sz w:val="28"/>
          <w:szCs w:val="28"/>
        </w:rPr>
      </w:pPr>
      <w:r>
        <w:rPr>
          <w:sz w:val="28"/>
          <w:szCs w:val="28"/>
        </w:rPr>
        <w:t xml:space="preserve">Parents are often viewed as the first educators in a child’s life, yet in many Nigerian households, open discussions about sexual health are either discouraged </w:t>
      </w:r>
      <w:r>
        <w:rPr>
          <w:sz w:val="28"/>
          <w:szCs w:val="28"/>
        </w:rPr>
        <w:lastRenderedPageBreak/>
        <w:t>or avoided entirely. A study in rural southwestern Nigeria showed that while 85.1% of adolescents reported receiving some form of sex-related guidance from parents or guardians, this information was typically framed around abstinence, fear of pregnancy, and HIV avoidance—rather than empowering or informative dialogue (Balogun&amp; Adebayo, 2020).</w:t>
      </w:r>
    </w:p>
    <w:p w:rsidR="00E71085" w:rsidRDefault="00A91BD4">
      <w:pPr>
        <w:pStyle w:val="NormalWeb"/>
        <w:spacing w:line="276" w:lineRule="auto"/>
        <w:jc w:val="both"/>
        <w:rPr>
          <w:sz w:val="28"/>
          <w:szCs w:val="28"/>
        </w:rPr>
      </w:pPr>
      <w:r>
        <w:rPr>
          <w:sz w:val="28"/>
          <w:szCs w:val="28"/>
        </w:rPr>
        <w:t xml:space="preserve">Crucially, Ibrahim &amp; Hassan (2021) emphasized that the </w:t>
      </w:r>
      <w:r>
        <w:rPr>
          <w:rStyle w:val="Emphasis"/>
          <w:sz w:val="28"/>
          <w:szCs w:val="28"/>
        </w:rPr>
        <w:t>quality</w:t>
      </w:r>
      <w:r>
        <w:rPr>
          <w:sz w:val="28"/>
          <w:szCs w:val="28"/>
        </w:rPr>
        <w:t xml:space="preserve"> of parent-child communication is more predictive of adolescents’ sexual behavior than the mere presence of sex education. Adolescents exposed to judgmental, infrequent, or fear-based communication had significantly higher rates of early sexual debut and risky behaviors (p = 0.001), highlighting the need for open, respectful, and continuous dialogue in the family setting.</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2. </w:t>
      </w:r>
      <w:r>
        <w:rPr>
          <w:rStyle w:val="Strong"/>
          <w:rFonts w:ascii="Times New Roman" w:hAnsi="Times New Roman" w:cs="Times New Roman"/>
          <w:b/>
          <w:bCs/>
          <w:sz w:val="28"/>
          <w:szCs w:val="28"/>
        </w:rPr>
        <w:t>Religious and Cultural Taboos</w:t>
      </w:r>
    </w:p>
    <w:p w:rsidR="00E71085" w:rsidRDefault="00A91BD4">
      <w:pPr>
        <w:pStyle w:val="NormalWeb"/>
        <w:spacing w:line="276" w:lineRule="auto"/>
        <w:jc w:val="both"/>
        <w:rPr>
          <w:sz w:val="28"/>
          <w:szCs w:val="28"/>
        </w:rPr>
      </w:pPr>
      <w:r>
        <w:rPr>
          <w:sz w:val="28"/>
          <w:szCs w:val="28"/>
        </w:rPr>
        <w:t>Religious doctrines and cultural conservatism continue to frame sex as a private or even taboo subject. In many parts of Nigeria—especially the northern and middle-belt regions—religious norms actively discourage formal sex education, perceiving it as incompatible with traditional values (Yusuf &amp; Musa, 2023). Among Muslim and Christian conservative communities alike, sex education is often equated with moral corruption or Western influence, leading to active resistance from parents, school administrators, and faith leaders.</w:t>
      </w:r>
    </w:p>
    <w:p w:rsidR="00E71085" w:rsidRDefault="00A91BD4">
      <w:pPr>
        <w:pStyle w:val="NormalWeb"/>
        <w:spacing w:line="276" w:lineRule="auto"/>
        <w:jc w:val="both"/>
        <w:rPr>
          <w:sz w:val="28"/>
          <w:szCs w:val="28"/>
        </w:rPr>
      </w:pPr>
      <w:r>
        <w:rPr>
          <w:sz w:val="28"/>
          <w:szCs w:val="28"/>
        </w:rPr>
        <w:t>This moral framing restricts both in-school and at-home education, leaving adolescents to rely on peers, the internet, or pornography—sources that may distort sexual norms and health information. Adebisi (2022) observed that adolescents in such restrictive environments are more prone to developing misconceptions, shame-based attitudes, and stigmatized views about their bodies and relationships.</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3. </w:t>
      </w:r>
      <w:r>
        <w:rPr>
          <w:rStyle w:val="Strong"/>
          <w:rFonts w:ascii="Times New Roman" w:hAnsi="Times New Roman" w:cs="Times New Roman"/>
          <w:b/>
          <w:bCs/>
          <w:sz w:val="28"/>
          <w:szCs w:val="28"/>
        </w:rPr>
        <w:t>Gendered Expectations and Stereotypes</w:t>
      </w:r>
    </w:p>
    <w:p w:rsidR="00E71085" w:rsidRDefault="00A91BD4">
      <w:pPr>
        <w:pStyle w:val="NormalWeb"/>
        <w:spacing w:line="276" w:lineRule="auto"/>
        <w:jc w:val="both"/>
        <w:rPr>
          <w:sz w:val="28"/>
          <w:szCs w:val="28"/>
        </w:rPr>
      </w:pPr>
      <w:r>
        <w:rPr>
          <w:sz w:val="28"/>
          <w:szCs w:val="28"/>
        </w:rPr>
        <w:t xml:space="preserve">Sexual education within families is not only limited but also gender-biased. Female adolescents are disproportionately burdened with messages about chastity, modesty, and avoiding shame, while boys are often given vague or permissive guidance that normalizes experimentation (Chikwe&amp;Oladejo, 2022). These patterns reinforce patriarchal norms and expose girls to greater social risks while </w:t>
      </w:r>
      <w:r>
        <w:rPr>
          <w:sz w:val="28"/>
          <w:szCs w:val="28"/>
        </w:rPr>
        <w:lastRenderedPageBreak/>
        <w:t>denying boys critical information about consent, respect, and reproductive responsibility.</w:t>
      </w:r>
    </w:p>
    <w:p w:rsidR="00E71085" w:rsidRDefault="00A91BD4">
      <w:pPr>
        <w:pStyle w:val="NormalWeb"/>
        <w:spacing w:line="276" w:lineRule="auto"/>
        <w:jc w:val="both"/>
        <w:rPr>
          <w:sz w:val="28"/>
          <w:szCs w:val="28"/>
        </w:rPr>
      </w:pPr>
      <w:r>
        <w:rPr>
          <w:sz w:val="28"/>
          <w:szCs w:val="28"/>
        </w:rPr>
        <w:t>Furthermore, boys may internalize masculine norms that stigmatize vulnerability or emotional expression, making it harder for them to seek guidance or communicate their concerns about sex and relationships. This gendered lens hampers the effectiveness of any one-size-fits-all sex education model and points to the need for gender-responsive approaches that address both empowerment and accountability.</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4. </w:t>
      </w:r>
      <w:r>
        <w:rPr>
          <w:rStyle w:val="Strong"/>
          <w:rFonts w:ascii="Times New Roman" w:hAnsi="Times New Roman" w:cs="Times New Roman"/>
          <w:b/>
          <w:bCs/>
          <w:sz w:val="28"/>
          <w:szCs w:val="28"/>
        </w:rPr>
        <w:t>Urban-Rural Divide and Socio-Economic Disparities</w:t>
      </w:r>
    </w:p>
    <w:p w:rsidR="00E71085" w:rsidRDefault="00A91BD4">
      <w:pPr>
        <w:pStyle w:val="NormalWeb"/>
        <w:spacing w:line="276" w:lineRule="auto"/>
        <w:jc w:val="both"/>
        <w:rPr>
          <w:sz w:val="28"/>
          <w:szCs w:val="28"/>
        </w:rPr>
      </w:pPr>
      <w:r>
        <w:rPr>
          <w:sz w:val="28"/>
          <w:szCs w:val="28"/>
        </w:rPr>
        <w:t>Students from urban, wealthier, or more educated households are more likely to receive accurate and supportive sexual health information at home. According to Ogunyemi&amp;Adeola (2021), parents residing in urban areas—especially those with tertiary education—were significantly more open to discussing topics such as menstruation, puberty, consent, and contraception with their children. By contrast, parents in rural or low-income households often lack the knowledge, language, or confidence to engage in these discussions, or they rely on punitive or moralistic warnings to enforce abstinence.</w:t>
      </w:r>
    </w:p>
    <w:p w:rsidR="00E71085" w:rsidRDefault="00A91BD4">
      <w:pPr>
        <w:pStyle w:val="NormalWeb"/>
        <w:spacing w:line="276" w:lineRule="auto"/>
        <w:jc w:val="both"/>
        <w:rPr>
          <w:sz w:val="28"/>
          <w:szCs w:val="28"/>
        </w:rPr>
      </w:pPr>
      <w:r>
        <w:rPr>
          <w:sz w:val="28"/>
          <w:szCs w:val="28"/>
        </w:rPr>
        <w:t>In many rural communities, infrastructure and poverty also play a role. Limited access to electricity, media, internet, and qualified teachers reinforces cultural silence, further isolating adolescents from credible sources of sexual health information (Akinwale&amp;Ajayi, 2022).</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5. </w:t>
      </w:r>
      <w:r>
        <w:rPr>
          <w:rStyle w:val="Strong"/>
          <w:rFonts w:ascii="Times New Roman" w:hAnsi="Times New Roman" w:cs="Times New Roman"/>
          <w:b/>
          <w:bCs/>
          <w:sz w:val="28"/>
          <w:szCs w:val="28"/>
        </w:rPr>
        <w:t>Peer Networks and Informal Learning Channels</w:t>
      </w:r>
    </w:p>
    <w:p w:rsidR="00E71085" w:rsidRDefault="00A91BD4">
      <w:pPr>
        <w:pStyle w:val="NormalWeb"/>
        <w:spacing w:line="276" w:lineRule="auto"/>
        <w:jc w:val="both"/>
        <w:rPr>
          <w:sz w:val="28"/>
          <w:szCs w:val="28"/>
        </w:rPr>
      </w:pPr>
      <w:r>
        <w:rPr>
          <w:sz w:val="28"/>
          <w:szCs w:val="28"/>
        </w:rPr>
        <w:t>When parental guidance is absent or insufficient, adolescents often turn to their peers, siblings, or social media for information. Afolabi&amp;Jimoh (2023) found that 63% of secondary school students in Ilorin West LGA identified peers or online platforms as their first source of sexual health knowledge. While peer learning can sometimes be constructive, it also opens the door to myths, peer pressure, or misinformation—particularly regarding topics like contraception, consent, and STI prevention.</w:t>
      </w:r>
    </w:p>
    <w:p w:rsidR="00E71085" w:rsidRDefault="00A91BD4">
      <w:pPr>
        <w:pStyle w:val="NormalWeb"/>
        <w:spacing w:line="276" w:lineRule="auto"/>
        <w:jc w:val="both"/>
        <w:rPr>
          <w:sz w:val="28"/>
          <w:szCs w:val="28"/>
        </w:rPr>
      </w:pPr>
      <w:r>
        <w:rPr>
          <w:sz w:val="28"/>
          <w:szCs w:val="28"/>
        </w:rPr>
        <w:lastRenderedPageBreak/>
        <w:t xml:space="preserve">To address this, structured </w:t>
      </w:r>
      <w:r>
        <w:rPr>
          <w:rStyle w:val="Strong"/>
          <w:b w:val="0"/>
          <w:sz w:val="28"/>
          <w:szCs w:val="28"/>
        </w:rPr>
        <w:t>peer education models</w:t>
      </w:r>
      <w:r>
        <w:rPr>
          <w:sz w:val="28"/>
          <w:szCs w:val="28"/>
        </w:rPr>
        <w:t xml:space="preserve"> are gaining traction in Nigeria. A study in Ibadan demonstrated that peer-led sex education—enhanced by mobile phone reminders—significantly improved knowledge and attitudes toward safe sex practices (effect size = 0.798; p &lt; 0.01) (Ajayi&amp;Fatusi, 2021). These models not only bypass family silence but also leverage youth social networks to normalize open discussions about sexuality.</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6. </w:t>
      </w:r>
      <w:r>
        <w:rPr>
          <w:rStyle w:val="Strong"/>
          <w:rFonts w:ascii="Times New Roman" w:hAnsi="Times New Roman" w:cs="Times New Roman"/>
          <w:b/>
          <w:bCs/>
          <w:sz w:val="28"/>
          <w:szCs w:val="28"/>
        </w:rPr>
        <w:t>Living Conditions in Urban Slums and Overcrowded Homes</w:t>
      </w:r>
    </w:p>
    <w:p w:rsidR="00E71085" w:rsidRDefault="00A91BD4">
      <w:pPr>
        <w:pStyle w:val="NormalWeb"/>
        <w:spacing w:line="276" w:lineRule="auto"/>
        <w:jc w:val="both"/>
        <w:rPr>
          <w:sz w:val="28"/>
          <w:szCs w:val="28"/>
        </w:rPr>
      </w:pPr>
      <w:r>
        <w:rPr>
          <w:sz w:val="28"/>
          <w:szCs w:val="28"/>
        </w:rPr>
        <w:t>Environmental factors also influence family capacity to deliver sex education. In urban slum communities, where households are overcrowded and privacy is minimal, it is challenging for parents to initiate sensitive conversations. A study in Ibadan slum communities found that both adolescents and caregivers felt disempowered to discuss sex openly due to lack of space and fear of being overheard (Kehinde&amp;Olanrewaju, 2023). Consequently, adolescents in such environments are doubly disadvantaged—by poor information access and structural barriers.</w:t>
      </w:r>
    </w:p>
    <w:p w:rsidR="00E71085" w:rsidRDefault="00A91BD4">
      <w:pPr>
        <w:pStyle w:val="Heading4"/>
        <w:jc w:val="both"/>
        <w:rPr>
          <w:rFonts w:ascii="Times New Roman" w:hAnsi="Times New Roman" w:cs="Times New Roman"/>
          <w:sz w:val="28"/>
          <w:szCs w:val="28"/>
        </w:rPr>
      </w:pPr>
      <w:r>
        <w:rPr>
          <w:rFonts w:ascii="Times New Roman" w:hAnsi="Times New Roman" w:cs="Times New Roman"/>
          <w:sz w:val="28"/>
          <w:szCs w:val="28"/>
        </w:rPr>
        <w:t xml:space="preserve">7. </w:t>
      </w:r>
      <w:r>
        <w:rPr>
          <w:rStyle w:val="Strong"/>
          <w:rFonts w:ascii="Times New Roman" w:hAnsi="Times New Roman" w:cs="Times New Roman"/>
          <w:b/>
          <w:bCs/>
          <w:sz w:val="28"/>
          <w:szCs w:val="28"/>
        </w:rPr>
        <w:t>Strategies for Bridging the Cultural Gap</w:t>
      </w:r>
    </w:p>
    <w:p w:rsidR="00E71085" w:rsidRDefault="00A91BD4">
      <w:pPr>
        <w:pStyle w:val="NormalWeb"/>
        <w:spacing w:line="276" w:lineRule="auto"/>
        <w:jc w:val="both"/>
        <w:rPr>
          <w:sz w:val="28"/>
          <w:szCs w:val="28"/>
        </w:rPr>
      </w:pPr>
      <w:r>
        <w:rPr>
          <w:sz w:val="28"/>
          <w:szCs w:val="28"/>
        </w:rPr>
        <w:t>To bridge these complex cultural and familial divides, scholars and health practitioners advocate for community-based and intergenerational interventions. These may include:</w:t>
      </w:r>
    </w:p>
    <w:p w:rsidR="00E71085" w:rsidRDefault="00A91BD4">
      <w:pPr>
        <w:pStyle w:val="NormalWeb"/>
        <w:numPr>
          <w:ilvl w:val="0"/>
          <w:numId w:val="17"/>
        </w:numPr>
        <w:spacing w:line="276" w:lineRule="auto"/>
        <w:jc w:val="both"/>
        <w:rPr>
          <w:sz w:val="28"/>
          <w:szCs w:val="28"/>
        </w:rPr>
      </w:pPr>
      <w:r>
        <w:rPr>
          <w:rStyle w:val="Strong"/>
          <w:b w:val="0"/>
          <w:sz w:val="28"/>
          <w:szCs w:val="28"/>
        </w:rPr>
        <w:t>Parental skill-building workshops</w:t>
      </w:r>
      <w:r>
        <w:rPr>
          <w:b/>
          <w:sz w:val="28"/>
          <w:szCs w:val="28"/>
        </w:rPr>
        <w:t>,</w:t>
      </w:r>
      <w:r>
        <w:rPr>
          <w:sz w:val="28"/>
          <w:szCs w:val="28"/>
        </w:rPr>
        <w:t xml:space="preserve"> helping caregivers develop the vocabulary, confidence, and tools to engage in age-appropriate, value-aligned sexual health discussions.</w:t>
      </w:r>
    </w:p>
    <w:p w:rsidR="00E71085" w:rsidRDefault="00A91BD4">
      <w:pPr>
        <w:pStyle w:val="NormalWeb"/>
        <w:numPr>
          <w:ilvl w:val="0"/>
          <w:numId w:val="17"/>
        </w:numPr>
        <w:spacing w:line="276" w:lineRule="auto"/>
        <w:jc w:val="both"/>
        <w:rPr>
          <w:sz w:val="28"/>
          <w:szCs w:val="28"/>
        </w:rPr>
      </w:pPr>
      <w:r>
        <w:rPr>
          <w:rStyle w:val="Strong"/>
          <w:b w:val="0"/>
          <w:sz w:val="28"/>
          <w:szCs w:val="28"/>
        </w:rPr>
        <w:t>Faith-based dialogues</w:t>
      </w:r>
      <w:r>
        <w:rPr>
          <w:b/>
          <w:sz w:val="28"/>
          <w:szCs w:val="28"/>
        </w:rPr>
        <w:t>,</w:t>
      </w:r>
      <w:r>
        <w:rPr>
          <w:sz w:val="28"/>
          <w:szCs w:val="28"/>
        </w:rPr>
        <w:t xml:space="preserve"> where religious leaders are educated about the health and social benefits of CSE, and engaged to reinterpret cultural narratives in support of adolescent well-being (UNFPA, 2022).</w:t>
      </w:r>
    </w:p>
    <w:p w:rsidR="00E71085" w:rsidRDefault="00A91BD4">
      <w:pPr>
        <w:pStyle w:val="NormalWeb"/>
        <w:numPr>
          <w:ilvl w:val="0"/>
          <w:numId w:val="17"/>
        </w:numPr>
        <w:spacing w:line="276" w:lineRule="auto"/>
        <w:jc w:val="both"/>
        <w:rPr>
          <w:sz w:val="28"/>
          <w:szCs w:val="28"/>
        </w:rPr>
      </w:pPr>
      <w:r>
        <w:rPr>
          <w:rStyle w:val="Strong"/>
          <w:b w:val="0"/>
          <w:sz w:val="28"/>
          <w:szCs w:val="28"/>
        </w:rPr>
        <w:t>Media campaigns</w:t>
      </w:r>
      <w:r>
        <w:rPr>
          <w:b/>
          <w:sz w:val="28"/>
          <w:szCs w:val="28"/>
        </w:rPr>
        <w:t>,</w:t>
      </w:r>
      <w:r>
        <w:rPr>
          <w:sz w:val="28"/>
          <w:szCs w:val="28"/>
        </w:rPr>
        <w:t xml:space="preserve"> including radio and TV programs tailored to local languages and values, designed to destigmatize conversations about sexual health within families.</w:t>
      </w:r>
    </w:p>
    <w:p w:rsidR="00E71085" w:rsidRDefault="00A91BD4">
      <w:pPr>
        <w:pStyle w:val="NormalWeb"/>
        <w:numPr>
          <w:ilvl w:val="0"/>
          <w:numId w:val="17"/>
        </w:numPr>
        <w:spacing w:line="276" w:lineRule="auto"/>
        <w:jc w:val="both"/>
        <w:rPr>
          <w:sz w:val="28"/>
          <w:szCs w:val="28"/>
        </w:rPr>
      </w:pPr>
      <w:r>
        <w:rPr>
          <w:rStyle w:val="Strong"/>
          <w:b w:val="0"/>
          <w:sz w:val="28"/>
          <w:szCs w:val="28"/>
        </w:rPr>
        <w:t>School parent partnerships,</w:t>
      </w:r>
      <w:r>
        <w:rPr>
          <w:sz w:val="28"/>
          <w:szCs w:val="28"/>
        </w:rPr>
        <w:t xml:space="preserve"> where schools provide take-home resources or host family outreach days to foster continuity between classroom and home education.</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2.7 Summary</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has explored the multifaceted literature on sex education among secondary school students in Nigeria, with particular attention to Ilorin West Local Government Area. The review began with the </w:t>
      </w:r>
      <w:r>
        <w:rPr>
          <w:rFonts w:ascii="Times New Roman" w:eastAsia="Times New Roman" w:hAnsi="Times New Roman" w:cs="Times New Roman"/>
          <w:bCs/>
          <w:sz w:val="28"/>
          <w:szCs w:val="28"/>
        </w:rPr>
        <w:t>conceptual framework</w:t>
      </w:r>
      <w:r>
        <w:rPr>
          <w:rFonts w:ascii="Times New Roman" w:eastAsia="Times New Roman" w:hAnsi="Times New Roman" w:cs="Times New Roman"/>
          <w:sz w:val="28"/>
          <w:szCs w:val="28"/>
        </w:rPr>
        <w:t xml:space="preserve">, highlighting the distinction between </w:t>
      </w:r>
      <w:r>
        <w:rPr>
          <w:rFonts w:ascii="Times New Roman" w:eastAsia="Times New Roman" w:hAnsi="Times New Roman" w:cs="Times New Roman"/>
          <w:bCs/>
          <w:sz w:val="28"/>
          <w:szCs w:val="28"/>
        </w:rPr>
        <w:t>Abstinence-Only Education (AOE)</w:t>
      </w:r>
      <w:r>
        <w:rPr>
          <w:rFonts w:ascii="Times New Roman" w:eastAsia="Times New Roman" w:hAnsi="Times New Roman" w:cs="Times New Roman"/>
          <w:sz w:val="28"/>
          <w:szCs w:val="28"/>
        </w:rPr>
        <w:t xml:space="preserve"> and </w:t>
      </w:r>
      <w:r>
        <w:rPr>
          <w:rFonts w:ascii="Times New Roman" w:eastAsia="Times New Roman" w:hAnsi="Times New Roman" w:cs="Times New Roman"/>
          <w:bCs/>
          <w:sz w:val="28"/>
          <w:szCs w:val="28"/>
        </w:rPr>
        <w:t>Comprehensive Sex Education (CSE)</w:t>
      </w:r>
      <w:r>
        <w:rPr>
          <w:rFonts w:ascii="Times New Roman" w:eastAsia="Times New Roman" w:hAnsi="Times New Roman" w:cs="Times New Roman"/>
          <w:sz w:val="28"/>
          <w:szCs w:val="28"/>
        </w:rPr>
        <w:t>. While AOE has shown limited effectiveness, CSE—when culturally adapted—has consistently been associated with better health outcomes, such as delayed sexual debut, reduced STIs, and increased contraceptive use.</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on the </w:t>
      </w:r>
      <w:r>
        <w:rPr>
          <w:rFonts w:ascii="Times New Roman" w:eastAsia="Times New Roman" w:hAnsi="Times New Roman" w:cs="Times New Roman"/>
          <w:bCs/>
          <w:sz w:val="28"/>
          <w:szCs w:val="28"/>
        </w:rPr>
        <w:t>knowledge and attitudes of Nigerian students</w:t>
      </w:r>
      <w:r>
        <w:rPr>
          <w:rFonts w:ascii="Times New Roman" w:eastAsia="Times New Roman" w:hAnsi="Times New Roman" w:cs="Times New Roman"/>
          <w:sz w:val="28"/>
          <w:szCs w:val="28"/>
        </w:rPr>
        <w:t xml:space="preserve"> reveal a significant gap between awareness and acceptance. While many students demonstrate good factual knowledge about reproductive health, cultural taboos, stigma, and discomfort still hinder positive attitudes and open discussion, especially among female students and those in conservative environments.</w:t>
      </w:r>
    </w:p>
    <w:p w:rsidR="00E71085" w:rsidRDefault="00A91BD4">
      <w:pPr>
        <w:spacing w:before="100" w:beforeAutospacing="1" w:after="100" w:afterAutospacing="1"/>
        <w:jc w:val="both"/>
        <w:rPr>
          <w:rFonts w:ascii="Times New Roman" w:eastAsia="Times New Roman" w:hAnsi="Times New Roman" w:cs="Times New Roman"/>
          <w:sz w:val="28"/>
          <w:szCs w:val="28"/>
        </w:rPr>
      </w:pPr>
      <w:r>
        <w:t xml:space="preserve">According to Akande 2024, </w:t>
      </w:r>
      <w:r>
        <w:rPr>
          <w:rFonts w:ascii="Times New Roman" w:eastAsia="Times New Roman" w:hAnsi="Times New Roman" w:cs="Times New Roman"/>
          <w:sz w:val="28"/>
          <w:szCs w:val="28"/>
        </w:rPr>
        <w:t xml:space="preserve">evidence from Ilorin and broader Kwara State indicates that </w:t>
      </w:r>
      <w:r>
        <w:rPr>
          <w:rFonts w:ascii="Times New Roman" w:eastAsia="Times New Roman" w:hAnsi="Times New Roman" w:cs="Times New Roman"/>
          <w:bCs/>
          <w:sz w:val="28"/>
          <w:szCs w:val="28"/>
        </w:rPr>
        <w:t>school-based sex education programs</w:t>
      </w:r>
      <w:r>
        <w:rPr>
          <w:rFonts w:ascii="Times New Roman" w:eastAsia="Times New Roman" w:hAnsi="Times New Roman" w:cs="Times New Roman"/>
          <w:sz w:val="28"/>
          <w:szCs w:val="28"/>
        </w:rPr>
        <w:t xml:space="preserve"> have improved adolescents’ knowledge and behavior when effectively implemented. Interventions that are interactive, peer-led, and culturally sensitive have yielded measurable outcomes such as increased confidence, safer sexual practices, and delayed sexual initiation. However, gaps in teacher training, institutional resistance, and inconsistent implementation remain significant barriers.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perceptions and roles of students</w:t>
      </w:r>
      <w:r>
        <w:rPr>
          <w:rFonts w:ascii="Times New Roman" w:eastAsia="Times New Roman" w:hAnsi="Times New Roman" w:cs="Times New Roman"/>
          <w:sz w:val="28"/>
          <w:szCs w:val="28"/>
        </w:rPr>
        <w:t xml:space="preserve"> were shown to be critical: students generally support sex education, especially when they perceive it as relevant to real-life challenges like unwanted pregnancy and peer pressure. Their willingness to engage in peer-led initiatives and youth health clubs underscores their potential as active stakeholders in improving sex education delivery.</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Gender and demographic influences</w:t>
      </w:r>
      <w:r>
        <w:rPr>
          <w:rFonts w:ascii="Times New Roman" w:eastAsia="Times New Roman" w:hAnsi="Times New Roman" w:cs="Times New Roman"/>
          <w:sz w:val="28"/>
          <w:szCs w:val="28"/>
        </w:rPr>
        <w:t xml:space="preserve"> such as age, religion, socio-economic status, and parental background were found to strongly shape attitudes. Female students often view sex education as protective, whereas male students may resist it due to peer norms or lack of targeted content. Urban, older, and better-educated students—especially those with informed parents—tend to be more receptive.</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w:t>
      </w:r>
      <w:r>
        <w:rPr>
          <w:rFonts w:ascii="Times New Roman" w:eastAsia="Times New Roman" w:hAnsi="Times New Roman" w:cs="Times New Roman"/>
          <w:bCs/>
          <w:sz w:val="28"/>
          <w:szCs w:val="28"/>
        </w:rPr>
        <w:t>cultural and family context</w:t>
      </w:r>
      <w:r>
        <w:rPr>
          <w:rFonts w:ascii="Times New Roman" w:eastAsia="Times New Roman" w:hAnsi="Times New Roman" w:cs="Times New Roman"/>
          <w:sz w:val="28"/>
          <w:szCs w:val="28"/>
        </w:rPr>
        <w:t xml:space="preserve"> remains one of the strongest determinants of adolescent attitudes toward sex education. Cultural taboos, religious conservatism, and gendered expectations often limit open communication between parents and adolescents. In many cases, families either avoid or oversimplify sexual health discussions, leaving young people to seek information from peers or unreliable online sources. Rural and low-income students are particularly affected by these challenges.</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address these issues, scholars advocate for </w:t>
      </w:r>
      <w:r>
        <w:rPr>
          <w:rFonts w:ascii="Times New Roman" w:eastAsia="Times New Roman" w:hAnsi="Times New Roman" w:cs="Times New Roman"/>
          <w:bCs/>
          <w:sz w:val="28"/>
          <w:szCs w:val="28"/>
        </w:rPr>
        <w:t>community-based, faith-sensitive, and family-inclusive approaches</w:t>
      </w:r>
      <w:r>
        <w:rPr>
          <w:rFonts w:ascii="Times New Roman" w:eastAsia="Times New Roman" w:hAnsi="Times New Roman" w:cs="Times New Roman"/>
          <w:sz w:val="28"/>
          <w:szCs w:val="28"/>
        </w:rPr>
        <w:t xml:space="preserve"> that build trust and create open lines of comm60unication. Strategies such as parent workshops, school-community partnerships, and youth-friendly peer education models have shown promise in bridging the gap between cultural values and public health needs.</w:t>
      </w: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E71085">
      <w:pPr>
        <w:jc w:val="both"/>
        <w:rPr>
          <w:rFonts w:ascii="Times New Roman" w:hAnsi="Times New Roman" w:cs="Times New Roman"/>
          <w:sz w:val="28"/>
          <w:szCs w:val="28"/>
        </w:rPr>
      </w:pPr>
    </w:p>
    <w:p w:rsidR="00E71085" w:rsidRDefault="00A91BD4">
      <w:pPr>
        <w:pStyle w:val="NormalWeb"/>
        <w:spacing w:line="276" w:lineRule="auto"/>
        <w:jc w:val="center"/>
        <w:rPr>
          <w:rStyle w:val="Strong"/>
          <w:color w:val="000000"/>
          <w:sz w:val="28"/>
          <w:szCs w:val="28"/>
        </w:rPr>
      </w:pPr>
      <w:r>
        <w:rPr>
          <w:rStyle w:val="Strong"/>
          <w:color w:val="000000"/>
          <w:sz w:val="28"/>
          <w:szCs w:val="28"/>
        </w:rPr>
        <w:t>CHAPTER THREE</w:t>
      </w:r>
    </w:p>
    <w:p w:rsidR="00E71085" w:rsidRDefault="00A91BD4">
      <w:pPr>
        <w:pStyle w:val="NormalWeb"/>
        <w:spacing w:line="276" w:lineRule="auto"/>
        <w:jc w:val="center"/>
        <w:rPr>
          <w:color w:val="000000"/>
          <w:sz w:val="28"/>
          <w:szCs w:val="28"/>
        </w:rPr>
      </w:pPr>
      <w:r>
        <w:rPr>
          <w:rStyle w:val="Strong"/>
          <w:color w:val="000000"/>
          <w:sz w:val="28"/>
          <w:szCs w:val="28"/>
        </w:rPr>
        <w:t>RESEARCH METHODOLOGY</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chapter outlines the research methodology employed to investigate the attitudes of secondary school students toward sex education in Ilorin West Local Government Area (LGA). The methodology section provides a detailed explanation of the research design, study area, population, sampling techniques, data collection instruments, procedures, analysis methods, and ethical considerations. Employing a descriptive cross-sectional survey design, this study aims to capture a comprehensive snapshot of students’ knowledge, attitudes, and perceptions regarding sex education at a specific point in time. The chapter and give the sub-heading outline:  </w:t>
      </w:r>
    </w:p>
    <w:p w:rsidR="00E71085" w:rsidRDefault="00A91BD4">
      <w:pPr>
        <w:spacing w:before="100" w:beforeAutospacing="1" w:after="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 Research Design</w:t>
      </w:r>
    </w:p>
    <w:p w:rsidR="00E71085" w:rsidRDefault="00A91BD4">
      <w:pPr>
        <w:pStyle w:val="Heading3"/>
        <w:spacing w:after="0" w:afterAutospacing="0" w:line="276" w:lineRule="auto"/>
        <w:jc w:val="both"/>
        <w:rPr>
          <w:b w:val="0"/>
          <w:sz w:val="28"/>
          <w:szCs w:val="28"/>
        </w:rPr>
      </w:pPr>
      <w:r>
        <w:rPr>
          <w:b w:val="0"/>
          <w:sz w:val="28"/>
          <w:szCs w:val="28"/>
        </w:rPr>
        <w:t>3.2 Area of the Study</w:t>
      </w:r>
    </w:p>
    <w:p w:rsidR="00E71085" w:rsidRDefault="00A91BD4">
      <w:pPr>
        <w:pStyle w:val="Heading2"/>
        <w:spacing w:after="0" w:afterAutospacing="0" w:line="276" w:lineRule="auto"/>
        <w:jc w:val="both"/>
        <w:rPr>
          <w:b w:val="0"/>
          <w:sz w:val="28"/>
          <w:szCs w:val="28"/>
        </w:rPr>
      </w:pPr>
      <w:r>
        <w:rPr>
          <w:b w:val="0"/>
          <w:sz w:val="28"/>
          <w:szCs w:val="28"/>
        </w:rPr>
        <w:t>3.3 Population of the Study</w:t>
      </w:r>
    </w:p>
    <w:p w:rsidR="00E71085" w:rsidRDefault="00A91BD4">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3.4 Sample and Sampling Techniques</w:t>
      </w:r>
    </w:p>
    <w:p w:rsidR="00E71085" w:rsidRDefault="00A91BD4">
      <w:pPr>
        <w:spacing w:before="100" w:beforeAutospacing="1" w:after="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 Research Instruments</w:t>
      </w:r>
    </w:p>
    <w:p w:rsidR="00E71085" w:rsidRDefault="00A91BD4">
      <w:pPr>
        <w:pStyle w:val="Heading2"/>
        <w:spacing w:after="0" w:afterAutospacing="0" w:line="276" w:lineRule="auto"/>
        <w:jc w:val="both"/>
        <w:rPr>
          <w:b w:val="0"/>
          <w:sz w:val="28"/>
          <w:szCs w:val="28"/>
        </w:rPr>
      </w:pPr>
      <w:r>
        <w:rPr>
          <w:b w:val="0"/>
          <w:sz w:val="28"/>
          <w:szCs w:val="28"/>
        </w:rPr>
        <w:t>3.6 Data Collection Procedure</w:t>
      </w:r>
    </w:p>
    <w:p w:rsidR="00E71085" w:rsidRDefault="00A91BD4">
      <w:pPr>
        <w:pStyle w:val="Heading2"/>
        <w:spacing w:after="0" w:afterAutospacing="0" w:line="276" w:lineRule="auto"/>
        <w:jc w:val="both"/>
        <w:rPr>
          <w:b w:val="0"/>
          <w:sz w:val="28"/>
          <w:szCs w:val="28"/>
        </w:rPr>
      </w:pPr>
      <w:r>
        <w:rPr>
          <w:b w:val="0"/>
          <w:sz w:val="28"/>
          <w:szCs w:val="28"/>
        </w:rPr>
        <w:t>3.7 Data Analysis</w:t>
      </w:r>
    </w:p>
    <w:p w:rsidR="00E71085" w:rsidRDefault="00A91BD4">
      <w:pPr>
        <w:pStyle w:val="Heading2"/>
        <w:spacing w:after="0" w:afterAutospacing="0" w:line="276" w:lineRule="auto"/>
        <w:jc w:val="both"/>
        <w:rPr>
          <w:b w:val="0"/>
          <w:sz w:val="28"/>
          <w:szCs w:val="28"/>
        </w:rPr>
      </w:pPr>
      <w:r>
        <w:rPr>
          <w:b w:val="0"/>
          <w:sz w:val="28"/>
          <w:szCs w:val="28"/>
        </w:rPr>
        <w:t>3.8 Ethical Considerations</w:t>
      </w:r>
    </w:p>
    <w:p w:rsidR="00E71085" w:rsidRDefault="00A91BD4">
      <w:pPr>
        <w:pStyle w:val="Heading2"/>
        <w:spacing w:after="0" w:afterAutospacing="0" w:line="276" w:lineRule="auto"/>
        <w:jc w:val="both"/>
        <w:rPr>
          <w:b w:val="0"/>
          <w:sz w:val="28"/>
          <w:szCs w:val="28"/>
        </w:rPr>
      </w:pPr>
      <w:r>
        <w:rPr>
          <w:b w:val="0"/>
          <w:sz w:val="28"/>
          <w:szCs w:val="28"/>
        </w:rPr>
        <w:t>3.9 Limitations of the Study</w:t>
      </w:r>
    </w:p>
    <w:p w:rsidR="00E71085" w:rsidRDefault="00A91BD4">
      <w:pPr>
        <w:spacing w:before="100" w:beforeAutospacing="1" w:after="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Research Design</w:t>
      </w:r>
    </w:p>
    <w:p w:rsidR="00E71085" w:rsidRDefault="00A91BD4">
      <w:pPr>
        <w:spacing w:before="100" w:beforeAutospacing="1"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adopts a descriptive cross-sectional survey design to assess the attitudes of secondary school students toward sex education in Ilorin West Local Government Area (LGA). Cross-sectional designs are widely used in public health and education research to capture a “snapshot” of participants’ knowledge, attitudes, and behaviors at a single point in time, facilitating rapid data collection and analysis (Kumar, 2020). This design is particularly useful for exploring correlations and patterns within a defined population without manipulating variables (Ajayi&amp; Adebayo, 2021). The approach enables comparison across </w:t>
      </w:r>
      <w:r>
        <w:rPr>
          <w:rFonts w:ascii="Times New Roman" w:eastAsia="Times New Roman" w:hAnsi="Times New Roman" w:cs="Times New Roman"/>
          <w:sz w:val="28"/>
          <w:szCs w:val="28"/>
        </w:rPr>
        <w:lastRenderedPageBreak/>
        <w:t>demographic groups and helps identify factors associated with positive or negative attitudes toward sex education.</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descriptive nature of the design allows for the detailed documentation of existing conditions and perceptions among adolescents, providing foundational data that can inform the development of targeted educational interventions and policy decisions. By focusing on attitudes rather than outcomes or behaviors alone, the study seeks to understand the underlying beliefs, cultural influences, and potential misconceptions that shape students' receptiveness to sex education programs.</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the cross-sectional survey facilitates the inclusion of a broad and diverse sample, capturing variability across age, gender, socio-economic status, religious affiliations, and educational backgrounds within the Ilorin West LGA. This inclusiveness enhances the generalizability of the findings and allows for subgroup analyses that may reveal important demographic differences or similarities.</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design does not permit causal inferences, its efficiency and cost-effectiveness make it an appropriate choice given the scope and resources of the study. The findings can serve as a baseline for future longitudinal or experimental research aimed at assessing changes in attitudes over time or the impact of specific educational interventions. Furthermore, the use of a standardized questionnaire ensures consistency in data collection, enabling reliable comparison and contributing to the validity of the study results.</w:t>
      </w:r>
    </w:p>
    <w:p w:rsidR="00E71085" w:rsidRDefault="00A91BD4">
      <w:pPr>
        <w:pStyle w:val="Heading3"/>
        <w:spacing w:line="276" w:lineRule="auto"/>
        <w:jc w:val="both"/>
        <w:rPr>
          <w:sz w:val="28"/>
          <w:szCs w:val="28"/>
        </w:rPr>
      </w:pPr>
      <w:r>
        <w:rPr>
          <w:sz w:val="28"/>
          <w:szCs w:val="28"/>
        </w:rPr>
        <w:t>3.2  Area of the Study</w:t>
      </w:r>
    </w:p>
    <w:p w:rsidR="00E71085" w:rsidRDefault="00A91BD4">
      <w:pPr>
        <w:pStyle w:val="NormalWeb"/>
        <w:spacing w:line="276" w:lineRule="auto"/>
        <w:ind w:firstLine="720"/>
        <w:jc w:val="both"/>
        <w:rPr>
          <w:sz w:val="28"/>
          <w:szCs w:val="28"/>
        </w:rPr>
      </w:pPr>
      <w:r>
        <w:rPr>
          <w:sz w:val="28"/>
          <w:szCs w:val="28"/>
        </w:rPr>
        <w:t xml:space="preserve">Ilorin West Local Government Area (LGA) is one of the key administrative divisions within Kwara State, Nigeria. It is a vibrant and diverse urban locality comprising numerous public and private secondary schools that cater to students from various ethnic, religious, and socio-economic backgrounds. Ilorin, the state capital, serves as the cultural and economic hub of the region, with its socio-cultural environment reflecting a unique blend of indigenous Yoruba traditions alongside modern urban influences. This dynamic interplay of tradition and </w:t>
      </w:r>
      <w:r>
        <w:rPr>
          <w:sz w:val="28"/>
          <w:szCs w:val="28"/>
        </w:rPr>
        <w:lastRenderedPageBreak/>
        <w:t>modernity significantly shapes adolescent perceptions, attitudes, and behaviors regarding sexuality and health education (Olowo, 2023).</w:t>
      </w:r>
    </w:p>
    <w:p w:rsidR="00E71085" w:rsidRDefault="00A91BD4">
      <w:pPr>
        <w:pStyle w:val="NormalWeb"/>
        <w:spacing w:line="276" w:lineRule="auto"/>
        <w:ind w:firstLine="720"/>
        <w:jc w:val="both"/>
        <w:rPr>
          <w:sz w:val="28"/>
          <w:szCs w:val="28"/>
        </w:rPr>
      </w:pPr>
      <w:r>
        <w:rPr>
          <w:sz w:val="28"/>
          <w:szCs w:val="28"/>
        </w:rPr>
        <w:t>Ilorin West LGA is characterized by a youthful population, with a significant proportion of residents falling within the adolescent age group. The area has faced ongoing challenges related to adolescent sexual and reproductive health, including early sexual debut, high incidences of unintended teenage pregnancies, and a rising prevalence of sexually transmitted infections (STIs), including HIV/AIDS (Afolayan, 2022). These challenges are compounded by factors such as limited access to comprehensive sex education, cultural taboos surrounding open discussions on sexuality, and varying degrees of parental and community support for adolescent health programs.</w:t>
      </w:r>
    </w:p>
    <w:p w:rsidR="00E71085" w:rsidRDefault="00A91BD4">
      <w:pPr>
        <w:pStyle w:val="NormalWeb"/>
        <w:spacing w:line="276" w:lineRule="auto"/>
        <w:ind w:firstLine="720"/>
        <w:jc w:val="both"/>
        <w:rPr>
          <w:sz w:val="28"/>
          <w:szCs w:val="28"/>
        </w:rPr>
      </w:pPr>
      <w:r>
        <w:rPr>
          <w:sz w:val="28"/>
          <w:szCs w:val="28"/>
        </w:rPr>
        <w:t>Moreover, socio-economic disparities within the LGA influence adolescents’ access to health information and services. Students from lower-income families may have fewer resources and support systems, increasing their vulnerability to risky sexual behaviors. Religious beliefs and cultural norms also play a critical role in shaping attitudes towards sex education, sometimes leading to resistance against formal sex education curricula or influencing the content that is deemed acceptable in schools.</w:t>
      </w:r>
    </w:p>
    <w:p w:rsidR="00E71085" w:rsidRDefault="00A91BD4">
      <w:pPr>
        <w:pStyle w:val="NormalWeb"/>
        <w:spacing w:line="276" w:lineRule="auto"/>
        <w:ind w:firstLine="720"/>
        <w:jc w:val="both"/>
        <w:rPr>
          <w:sz w:val="28"/>
          <w:szCs w:val="28"/>
        </w:rPr>
      </w:pPr>
      <w:r>
        <w:rPr>
          <w:sz w:val="28"/>
          <w:szCs w:val="28"/>
        </w:rPr>
        <w:t>The local government has made efforts to address these issues through health promotion and educational initiatives, but gaps remain in the implementation and acceptance of comprehensive sex education. This underscores the necessity for research that is sensitive to the cultural context, to better understand the perceptions and attitudes of secondary school students toward sex education. Such insights are crucial for designing effective, culturally appropriate interventions that resonate with the community’s values while promoting healthy adolescent development.</w:t>
      </w:r>
    </w:p>
    <w:p w:rsidR="00E71085" w:rsidRDefault="00E71085">
      <w:pPr>
        <w:pStyle w:val="Heading2"/>
        <w:spacing w:line="276" w:lineRule="auto"/>
        <w:jc w:val="both"/>
        <w:rPr>
          <w:sz w:val="28"/>
          <w:szCs w:val="28"/>
        </w:rPr>
      </w:pPr>
    </w:p>
    <w:p w:rsidR="00E71085" w:rsidRDefault="00A91BD4">
      <w:pPr>
        <w:pStyle w:val="Heading2"/>
        <w:spacing w:line="276" w:lineRule="auto"/>
        <w:jc w:val="both"/>
        <w:rPr>
          <w:sz w:val="28"/>
          <w:szCs w:val="28"/>
        </w:rPr>
      </w:pPr>
      <w:r>
        <w:rPr>
          <w:sz w:val="28"/>
          <w:szCs w:val="28"/>
        </w:rPr>
        <w:t>3.3 Population of the Study</w:t>
      </w:r>
    </w:p>
    <w:p w:rsidR="00E71085" w:rsidRDefault="00A91BD4">
      <w:pPr>
        <w:ind w:firstLine="720"/>
        <w:jc w:val="both"/>
        <w:rPr>
          <w:rFonts w:ascii="Times New Roman" w:hAnsi="Times New Roman"/>
          <w:sz w:val="28"/>
          <w:szCs w:val="28"/>
        </w:rPr>
      </w:pPr>
      <w:r>
        <w:rPr>
          <w:rFonts w:ascii="Times New Roman" w:hAnsi="Times New Roman"/>
          <w:sz w:val="28"/>
          <w:szCs w:val="28"/>
        </w:rPr>
        <w:t xml:space="preserve">The population of this study comprises of the entire twenty two (22) public secondary schools in Ilorin West L.G.A of kwara state. </w:t>
      </w:r>
      <w:r>
        <w:rPr>
          <w:rFonts w:ascii="Times New Roman" w:hAnsi="Times New Roman" w:cs="Times New Roman"/>
          <w:sz w:val="28"/>
          <w:szCs w:val="28"/>
        </w:rPr>
        <w:t xml:space="preserve">The study would </w:t>
      </w:r>
      <w:r>
        <w:rPr>
          <w:rFonts w:ascii="Times New Roman" w:hAnsi="Times New Roman" w:cs="Times New Roman"/>
          <w:sz w:val="28"/>
          <w:szCs w:val="28"/>
        </w:rPr>
        <w:lastRenderedPageBreak/>
        <w:t xml:space="preserve">investigate five secondary schools in Ilorin west which consist of twenty (20) students, sampled from each school which would consist of male and female student to respond to the question items in the questionnaire, the  researcher would make use JSS II &amp; III students in secondary schools selected for the study. This would be done on the assumption that JSS ii &amp; iii are more likely to be exposed and more likely to have objective question on sexual behavior than pupils in primary school.  </w:t>
      </w:r>
    </w:p>
    <w:p w:rsidR="00E71085" w:rsidRDefault="00A91BD4">
      <w:pPr>
        <w:pStyle w:val="NoSpacing"/>
        <w:spacing w:line="276" w:lineRule="auto"/>
        <w:jc w:val="both"/>
        <w:rPr>
          <w:rFonts w:ascii="Times New Roman" w:hAnsi="Times New Roman" w:cs="Times New Roman"/>
          <w:b/>
          <w:sz w:val="28"/>
          <w:szCs w:val="28"/>
        </w:rPr>
      </w:pPr>
      <w:r>
        <w:rPr>
          <w:rFonts w:ascii="Times New Roman" w:hAnsi="Times New Roman" w:cs="Times New Roman"/>
          <w:b/>
          <w:sz w:val="28"/>
          <w:szCs w:val="28"/>
        </w:rPr>
        <w:t>3.4 Sample and Sampling Techniques</w:t>
      </w:r>
    </w:p>
    <w:p w:rsidR="00E71085" w:rsidRDefault="00A91BD4">
      <w:pPr>
        <w:pStyle w:val="NoSpacing"/>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These research populations would consist of students of secondary schools in Ilorin-west local government, the schools are: </w:t>
      </w:r>
    </w:p>
    <w:p w:rsidR="00E71085" w:rsidRDefault="00A91BD4">
      <w:pPr>
        <w:pStyle w:val="NoSpacing"/>
        <w:numPr>
          <w:ilvl w:val="0"/>
          <w:numId w:val="16"/>
        </w:numPr>
        <w:spacing w:line="276"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Government day Junior Secondary School Adewole</w:t>
      </w:r>
    </w:p>
    <w:p w:rsidR="00E71085" w:rsidRDefault="00A91BD4">
      <w:pPr>
        <w:pStyle w:val="NoSpacing"/>
        <w:numPr>
          <w:ilvl w:val="0"/>
          <w:numId w:val="16"/>
        </w:numPr>
        <w:spacing w:line="276"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Govt. Day Junior Secondary School Odo-okun</w:t>
      </w:r>
    </w:p>
    <w:p w:rsidR="00E71085" w:rsidRDefault="00A91BD4">
      <w:pPr>
        <w:pStyle w:val="NoSpacing"/>
        <w:numPr>
          <w:ilvl w:val="0"/>
          <w:numId w:val="16"/>
        </w:numPr>
        <w:spacing w:line="276"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Junior Secondary School odota</w:t>
      </w:r>
    </w:p>
    <w:p w:rsidR="00E71085" w:rsidRDefault="00A91BD4">
      <w:pPr>
        <w:pStyle w:val="NoSpacing"/>
        <w:numPr>
          <w:ilvl w:val="0"/>
          <w:numId w:val="16"/>
        </w:numPr>
        <w:spacing w:line="276"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Govt. Girls day okoerin</w:t>
      </w:r>
    </w:p>
    <w:p w:rsidR="00E71085" w:rsidRDefault="00A91BD4">
      <w:pPr>
        <w:pStyle w:val="NoSpacing"/>
        <w:numPr>
          <w:ilvl w:val="0"/>
          <w:numId w:val="16"/>
        </w:numPr>
        <w:spacing w:line="276"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Baptist Junior Secondary School Surulere</w:t>
      </w:r>
    </w:p>
    <w:p w:rsidR="00E71085" w:rsidRDefault="00A91BD4">
      <w:pPr>
        <w:spacing w:before="100" w:beforeAutospacing="1" w:after="100" w:afterAutospacing="1"/>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3.5  Research Instruments</w:t>
      </w:r>
    </w:p>
    <w:p w:rsidR="00E71085" w:rsidRDefault="00A91BD4">
      <w:pPr>
        <w:spacing w:before="100" w:beforeAutospacing="1" w:after="100" w:afterAutospacing="1"/>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collection for this study will be carried out using a structured, self-administered questionnaire specifically designed to capture secondary school students’ knowledge, attitudes, and perceptions toward sex education. The questionnaire will be developed by adapting validated instruments previously used in adolescent sexual health research within the Nigerian context (Fawole et al., 2018; Adewuyi&amp;Aremu, 2022). The instrument will be reviewed by experts in public health and education to ensure clarity, cultural appropriateness, and content validity.</w:t>
      </w:r>
    </w:p>
    <w:p w:rsidR="00E71085" w:rsidRDefault="00A91BD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questionnaire will consist of four main sections:</w:t>
      </w:r>
    </w:p>
    <w:p w:rsidR="00E71085" w:rsidRDefault="00A91BD4">
      <w:pPr>
        <w:numPr>
          <w:ilvl w:val="0"/>
          <w:numId w:val="18"/>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Section A: Socio-demographic Information </w:t>
      </w:r>
      <w:r>
        <w:rPr>
          <w:rFonts w:ascii="Times New Roman" w:eastAsia="Times New Roman" w:hAnsi="Times New Roman" w:cs="Times New Roman"/>
          <w:sz w:val="28"/>
          <w:szCs w:val="28"/>
        </w:rPr>
        <w:t>This section will collect background data including age, gender, class level, religion, ethnicity, and parental educational background. These variables will help analyze the influence of demographic factors on students’ attitudes toward sex education.</w:t>
      </w:r>
    </w:p>
    <w:p w:rsidR="00E71085" w:rsidRDefault="00A91BD4">
      <w:pPr>
        <w:numPr>
          <w:ilvl w:val="0"/>
          <w:numId w:val="18"/>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Section B: Knowledge Assessment</w:t>
      </w:r>
      <w:r>
        <w:rPr>
          <w:rFonts w:ascii="Times New Roman" w:eastAsia="Times New Roman" w:hAnsi="Times New Roman" w:cs="Times New Roman"/>
          <w:sz w:val="28"/>
          <w:szCs w:val="28"/>
        </w:rPr>
        <w:t>This part will measure students’ awareness and understanding of key topics related to sex education, including human reproduction, contraceptive methods, sexually transmitted infections (STIs), HIV/AIDS, and consent. Questions will be primarily multiple-choice and true/false formats, designed to objectively evaluate factual knowledge. The knowledge items will be adapted from existing validated tools with proven reliability in similar populations (Cronbach’s alpha &gt; 0.7).</w:t>
      </w:r>
    </w:p>
    <w:p w:rsidR="00E71085" w:rsidRDefault="00A91BD4">
      <w:pPr>
        <w:numPr>
          <w:ilvl w:val="0"/>
          <w:numId w:val="18"/>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Section C: Attitudes Toward Sex Education</w:t>
      </w:r>
      <w:r>
        <w:rPr>
          <w:rFonts w:ascii="Times New Roman" w:eastAsia="Times New Roman" w:hAnsi="Times New Roman" w:cs="Times New Roman"/>
          <w:sz w:val="28"/>
          <w:szCs w:val="28"/>
        </w:rPr>
        <w:t>Attitudes will be assessed using a series of statements rated on a 5-point Likert scale ranging from “Strongly Agree” to “Strongly Disagree.” The statements will explore perceptions about the importance of sex education, acceptability of topics covered, preferred methods of delivery, and beliefs about the role of schools and parents in providing sex education. This section aims to capture the diversity of opinions and the degree of support or resistance toward sex education among students.</w:t>
      </w:r>
    </w:p>
    <w:p w:rsidR="00E71085" w:rsidRDefault="00A91BD4">
      <w:pPr>
        <w:numPr>
          <w:ilvl w:val="0"/>
          <w:numId w:val="18"/>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Section D: Perceptions of Benefits and Barriers</w:t>
      </w:r>
      <w:r>
        <w:rPr>
          <w:rFonts w:ascii="Times New Roman" w:eastAsia="Times New Roman" w:hAnsi="Times New Roman" w:cs="Times New Roman"/>
          <w:sz w:val="28"/>
          <w:szCs w:val="28"/>
        </w:rPr>
        <w:t>This section will include open-ended and close-ended questions aimed at identifying perceived advantages of sex education, such as improved knowledge and prevention of risky behaviors, as well as barriers such as cultural taboos, fear of judgment, or lack of access to resources. Suggestions for improving sex education programs will also be solicited to gain insight into students’ preferences and recommendations.</w:t>
      </w:r>
    </w:p>
    <w:p w:rsidR="00E71085" w:rsidRDefault="00A91BD4">
      <w:pPr>
        <w:pStyle w:val="Heading2"/>
        <w:spacing w:line="276" w:lineRule="auto"/>
        <w:jc w:val="both"/>
        <w:rPr>
          <w:sz w:val="28"/>
          <w:szCs w:val="28"/>
        </w:rPr>
      </w:pPr>
      <w:r>
        <w:rPr>
          <w:sz w:val="28"/>
          <w:szCs w:val="28"/>
        </w:rPr>
        <w:t>3.6 Data Collection Procedure</w:t>
      </w:r>
    </w:p>
    <w:p w:rsidR="00E71085" w:rsidRDefault="00A91BD4">
      <w:pPr>
        <w:pStyle w:val="NormalWeb"/>
        <w:spacing w:line="276" w:lineRule="auto"/>
        <w:ind w:firstLine="720"/>
        <w:jc w:val="both"/>
        <w:rPr>
          <w:sz w:val="28"/>
          <w:szCs w:val="28"/>
        </w:rPr>
      </w:pPr>
      <w:r>
        <w:rPr>
          <w:sz w:val="28"/>
          <w:szCs w:val="28"/>
        </w:rPr>
        <w:t>Ethical approval will be secured from the kwara state college of education Ilorin Ethics Committee Written informed consent will be obtained from school principals, parents/guardians, and assent from participating students to uphold ethical standards (Adewuyi&amp;Aremu, 2022).</w:t>
      </w:r>
    </w:p>
    <w:p w:rsidR="00E71085" w:rsidRDefault="00A91BD4">
      <w:pPr>
        <w:pStyle w:val="NormalWeb"/>
        <w:spacing w:line="276" w:lineRule="auto"/>
        <w:ind w:firstLine="720"/>
        <w:jc w:val="both"/>
        <w:rPr>
          <w:sz w:val="28"/>
          <w:szCs w:val="28"/>
        </w:rPr>
      </w:pPr>
      <w:r>
        <w:rPr>
          <w:sz w:val="28"/>
          <w:szCs w:val="28"/>
        </w:rPr>
        <w:t xml:space="preserve">Data collection will be facilitated by trained research assistants fluent in English and Yoruba, ensuring effective communication and comprehension. Questionnaires will be administered during regular school hours in a quiet classroom setting to minimize distractions and promote candid respondent </w:t>
      </w:r>
      <w:r>
        <w:rPr>
          <w:sz w:val="28"/>
          <w:szCs w:val="28"/>
        </w:rPr>
        <w:lastRenderedPageBreak/>
        <w:t>Participants will be assured of confidentiality and anonymity to reduce social desirability bias and encourage honesty.</w:t>
      </w:r>
    </w:p>
    <w:p w:rsidR="00E71085" w:rsidRDefault="00A91BD4">
      <w:pPr>
        <w:pStyle w:val="Heading2"/>
        <w:spacing w:line="276" w:lineRule="auto"/>
        <w:jc w:val="both"/>
        <w:rPr>
          <w:sz w:val="28"/>
          <w:szCs w:val="28"/>
        </w:rPr>
      </w:pPr>
      <w:r>
        <w:rPr>
          <w:sz w:val="28"/>
          <w:szCs w:val="28"/>
        </w:rPr>
        <w:t>3.7 Data Analysis</w:t>
      </w:r>
    </w:p>
    <w:p w:rsidR="00E71085" w:rsidRDefault="00A91BD4">
      <w:pPr>
        <w:pStyle w:val="NormalWeb"/>
        <w:spacing w:line="276" w:lineRule="auto"/>
        <w:jc w:val="both"/>
        <w:rPr>
          <w:sz w:val="28"/>
          <w:szCs w:val="28"/>
        </w:rPr>
      </w:pPr>
      <w:r>
        <w:rPr>
          <w:sz w:val="28"/>
          <w:szCs w:val="28"/>
        </w:rPr>
        <w:t xml:space="preserve">Collected data will be analyzed using </w:t>
      </w:r>
      <w:r>
        <w:rPr>
          <w:rStyle w:val="Strong"/>
          <w:b w:val="0"/>
          <w:sz w:val="28"/>
          <w:szCs w:val="28"/>
        </w:rPr>
        <w:t xml:space="preserve">descriptive statistics for demographic information of the respondent, and chi-square test for the other section (if applicable) </w:t>
      </w:r>
    </w:p>
    <w:p w:rsidR="00E71085" w:rsidRDefault="00A91BD4">
      <w:pPr>
        <w:numPr>
          <w:ilvl w:val="0"/>
          <w:numId w:val="21"/>
        </w:numPr>
        <w:spacing w:before="240" w:beforeAutospacing="1" w:after="100" w:afterAutospacing="1" w:line="240" w:lineRule="auto"/>
        <w:rPr>
          <w:rFonts w:ascii="Times New Roman" w:eastAsia="Times New Roman" w:hAnsi="Times New Roman" w:cs="Times New Roman"/>
          <w:sz w:val="24"/>
          <w:szCs w:val="24"/>
        </w:rPr>
      </w:pPr>
      <w:r>
        <w:rPr>
          <w:rStyle w:val="mbin"/>
          <w:sz w:val="28"/>
          <w:szCs w:val="28"/>
        </w:rPr>
        <w:t>Descriptive statistics</w:t>
      </w:r>
      <w:r>
        <w:rPr>
          <w:sz w:val="28"/>
          <w:szCs w:val="28"/>
        </w:rPr>
        <w:t xml:space="preserve"> (frequencies (x), percentages (100%), means ( </w:t>
      </w:r>
      <m:oMath>
        <m:r>
          <w:rPr>
            <w:rFonts w:ascii="Cambria Math" w:hAnsi="Cambria Math" w:cs="Cambria Math"/>
            <w:sz w:val="28"/>
            <w:szCs w:val="28"/>
          </w:rPr>
          <m:t>x</m:t>
        </m:r>
        <m:r>
          <m:rPr>
            <m:sty m:val="p"/>
          </m:rPr>
          <w:rPr>
            <w:rFonts w:ascii="Cambria Math" w:hAnsi="Cambria Math" w:cs="Cambria Math"/>
            <w:sz w:val="28"/>
            <w:szCs w:val="28"/>
          </w:rPr>
          <m:t>=</m:t>
        </m:r>
        <m:f>
          <m:fPr>
            <m:ctrlPr>
              <w:rPr>
                <w:rFonts w:ascii="Cambria Math" w:hAnsi="Cambria Math"/>
                <w:sz w:val="28"/>
                <w:szCs w:val="28"/>
              </w:rPr>
            </m:ctrlPr>
          </m:fPr>
          <m:num>
            <m:r>
              <m:rPr>
                <m:sty m:val="p"/>
              </m:rPr>
              <w:rPr>
                <w:rFonts w:ascii="Cambria Math" w:hAnsi="Cambria Math"/>
                <w:sz w:val="28"/>
                <w:szCs w:val="28"/>
              </w:rPr>
              <m:t>∑x</m:t>
            </m:r>
          </m:num>
          <m:den>
            <m:r>
              <m:rPr>
                <m:sty m:val="p"/>
              </m:rPr>
              <w:rPr>
                <w:rFonts w:ascii="Cambria Math" w:hAnsi="Cambria Math" w:cs="Cambria Math"/>
                <w:sz w:val="28"/>
                <w:szCs w:val="28"/>
              </w:rPr>
              <m:t>n</m:t>
            </m:r>
          </m:den>
        </m:f>
      </m:oMath>
      <w:r>
        <w:rPr>
          <w:rFonts w:eastAsia="SimSun"/>
          <w:sz w:val="28"/>
          <w:szCs w:val="28"/>
        </w:rPr>
        <w:t xml:space="preserve">), </w:t>
      </w:r>
      <w:r>
        <w:rPr>
          <w:sz w:val="28"/>
          <w:szCs w:val="28"/>
        </w:rPr>
        <w:t>standard deviations s=</w:t>
      </w:r>
      <m:oMath>
        <m:f>
          <m:fPr>
            <m:ctrlPr>
              <w:rPr>
                <w:rFonts w:ascii="Cambria Math" w:hAnsi="Cambria Math"/>
                <w:i/>
                <w:sz w:val="28"/>
                <w:szCs w:val="28"/>
              </w:rPr>
            </m:ctrlPr>
          </m:fPr>
          <m:num>
            <m:d>
              <m:dPr>
                <m:ctrlPr>
                  <w:rPr>
                    <w:rFonts w:ascii="Cambria Math" w:hAnsi="Cambria Math"/>
                    <w:sz w:val="28"/>
                    <w:szCs w:val="28"/>
                  </w:rPr>
                </m:ctrlPr>
              </m:dPr>
              <m:e>
                <m:rad>
                  <m:radPr>
                    <m:degHide m:val="on"/>
                    <m:ctrlPr>
                      <w:rPr>
                        <w:rFonts w:ascii="Cambria Math" w:hAnsi="Cambria Math"/>
                        <w:i/>
                        <w:sz w:val="28"/>
                        <w:szCs w:val="28"/>
                      </w:rPr>
                    </m:ctrlPr>
                  </m:radPr>
                  <m:deg/>
                  <m:e>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cs="Cambria Math"/>
                                <w:sz w:val="28"/>
                                <w:szCs w:val="28"/>
                              </w:rPr>
                              <m:t>xi-</m:t>
                            </m:r>
                            <m:r>
                              <w:rPr>
                                <w:rFonts w:ascii="Cambria Math" w:hAnsi="Cambria Math"/>
                                <w:sz w:val="28"/>
                                <w:szCs w:val="28"/>
                              </w:rPr>
                              <m:t>x</m:t>
                            </m:r>
                          </m:e>
                        </m:d>
                      </m:e>
                      <m:sup>
                        <m:r>
                          <w:rPr>
                            <w:rFonts w:ascii="Cambria Math" w:hAnsi="Cambria Math"/>
                            <w:sz w:val="28"/>
                            <w:szCs w:val="28"/>
                          </w:rPr>
                          <m:t>2</m:t>
                        </m:r>
                      </m:sup>
                    </m:sSup>
                  </m:e>
                </m:rad>
              </m:e>
            </m:d>
          </m:num>
          <m:den>
            <m:r>
              <w:rPr>
                <w:rFonts w:ascii="Cambria Math" w:hAnsi="Cambria Math"/>
                <w:sz w:val="28"/>
                <w:szCs w:val="28"/>
              </w:rPr>
              <m:t>n-1</m:t>
            </m:r>
          </m:den>
        </m:f>
      </m:oMath>
      <w:r>
        <w:rPr>
          <w:rFonts w:ascii="Times New Roman" w:eastAsia="Times New Roman" w:hAnsi="Times New Roman" w:cs="Times New Roman"/>
          <w:sz w:val="24"/>
          <w:szCs w:val="24"/>
        </w:rPr>
        <w:t xml:space="preserve">) </w:t>
      </w:r>
      <w:r>
        <w:rPr>
          <w:sz w:val="28"/>
          <w:szCs w:val="28"/>
        </w:rPr>
        <w:t xml:space="preserve"> will summarize demographic profiles, knowledge levels, and attitude scores.</w:t>
      </w:r>
    </w:p>
    <w:p w:rsidR="00E71085" w:rsidRDefault="00A91BD4">
      <w:pPr>
        <w:pStyle w:val="NormalWeb"/>
        <w:numPr>
          <w:ilvl w:val="0"/>
          <w:numId w:val="13"/>
        </w:numPr>
        <w:spacing w:line="276" w:lineRule="auto"/>
        <w:jc w:val="both"/>
        <w:rPr>
          <w:sz w:val="28"/>
          <w:szCs w:val="28"/>
        </w:rPr>
      </w:pPr>
      <w:r>
        <w:rPr>
          <w:rStyle w:val="Strong"/>
          <w:b w:val="0"/>
          <w:sz w:val="28"/>
          <w:szCs w:val="28"/>
        </w:rPr>
        <w:t xml:space="preserve"> Chi-square tests</w:t>
      </w:r>
      <w:r>
        <w:rPr>
          <w:sz w:val="28"/>
          <w:szCs w:val="28"/>
        </w:rPr>
        <w:t xml:space="preserve"> will examine associations between categorical variables such as gender and attitude categories( and </w:t>
      </w:r>
      <m:oMath>
        <m:r>
          <w:rPr>
            <w:rFonts w:ascii="Cambria Math" w:hAnsi="Cambria Math"/>
            <w:sz w:val="28"/>
            <w:szCs w:val="28"/>
          </w:rPr>
          <m:t>x²=∑(∘-E</m:t>
        </m:r>
        <m:r>
          <m:rPr>
            <m:sty m:val="p"/>
          </m:rPr>
          <w:rPr>
            <w:rFonts w:ascii="Cambria Math" w:hAnsi="Cambria Math"/>
            <w:sz w:val="28"/>
            <w:szCs w:val="28"/>
          </w:rPr>
          <m:t>)²</m:t>
        </m:r>
      </m:oMath>
      <w:r>
        <w:rPr>
          <w:sz w:val="28"/>
          <w:szCs w:val="28"/>
        </w:rPr>
        <w:t xml:space="preserve"> / E)</w:t>
      </w:r>
    </w:p>
    <w:p w:rsidR="00E71085" w:rsidRDefault="00E71085">
      <w:pPr>
        <w:pStyle w:val="NormalWeb"/>
        <w:spacing w:line="276" w:lineRule="auto"/>
        <w:jc w:val="both"/>
        <w:rPr>
          <w:sz w:val="28"/>
          <w:szCs w:val="28"/>
        </w:rPr>
      </w:pPr>
    </w:p>
    <w:p w:rsidR="00E71085" w:rsidRDefault="00E71085">
      <w:pPr>
        <w:pStyle w:val="NormalWeb"/>
        <w:spacing w:line="276" w:lineRule="auto"/>
        <w:jc w:val="both"/>
        <w:rPr>
          <w:sz w:val="28"/>
          <w:szCs w:val="28"/>
        </w:rPr>
      </w:pPr>
    </w:p>
    <w:p w:rsidR="00E71085" w:rsidRDefault="00E71085">
      <w:pPr>
        <w:pStyle w:val="NormalWeb"/>
        <w:spacing w:line="276" w:lineRule="auto"/>
        <w:jc w:val="both"/>
        <w:rPr>
          <w:sz w:val="28"/>
          <w:szCs w:val="28"/>
        </w:rPr>
      </w:pPr>
    </w:p>
    <w:p w:rsidR="00E71085" w:rsidRDefault="00E71085">
      <w:pPr>
        <w:pStyle w:val="NormalWeb"/>
        <w:spacing w:line="276" w:lineRule="auto"/>
        <w:jc w:val="both"/>
        <w:rPr>
          <w:sz w:val="28"/>
          <w:szCs w:val="28"/>
        </w:rPr>
      </w:pPr>
    </w:p>
    <w:p w:rsidR="00E71085" w:rsidRDefault="00A91BD4">
      <w:pPr>
        <w:pStyle w:val="Heading1"/>
        <w:jc w:val="center"/>
        <w:rPr>
          <w:rFonts w:ascii="Times New Roman" w:hAnsi="Times New Roman" w:cs="Times New Roman"/>
          <w:color w:val="000000"/>
        </w:rPr>
      </w:pPr>
      <w:r>
        <w:rPr>
          <w:rFonts w:ascii="Times New Roman" w:hAnsi="Times New Roman" w:cs="Times New Roman"/>
          <w:color w:val="000000"/>
        </w:rPr>
        <w:t>CHAPTER FOUR</w:t>
      </w:r>
    </w:p>
    <w:p w:rsidR="00E71085" w:rsidRDefault="00A91BD4">
      <w:pPr>
        <w:pStyle w:val="NormalWeb"/>
        <w:jc w:val="center"/>
        <w:rPr>
          <w:b/>
          <w:color w:val="000000"/>
          <w:sz w:val="28"/>
          <w:szCs w:val="28"/>
        </w:rPr>
      </w:pPr>
      <w:r>
        <w:rPr>
          <w:b/>
          <w:color w:val="000000"/>
          <w:sz w:val="28"/>
          <w:szCs w:val="28"/>
        </w:rPr>
        <w:t>RESULTS AND DISCUSSION</w:t>
      </w:r>
    </w:p>
    <w:p w:rsidR="00E71085" w:rsidRDefault="00A91BD4">
      <w:pPr>
        <w:pStyle w:val="NormalWeb"/>
        <w:spacing w:line="360" w:lineRule="auto"/>
        <w:ind w:firstLine="720"/>
        <w:jc w:val="both"/>
        <w:rPr>
          <w:sz w:val="28"/>
          <w:szCs w:val="28"/>
        </w:rPr>
      </w:pPr>
      <w:r>
        <w:rPr>
          <w:sz w:val="28"/>
          <w:szCs w:val="28"/>
        </w:rPr>
        <w:t xml:space="preserve">This chapter presents the analysis and discussion of data collected on the attitudes of secondary school students toward sex education in Ilorin West Local Government Area. The chapter is divided into two section A and B, section A presents the analysis of the biodata of respondents ,while section B present the data analysis </w:t>
      </w:r>
    </w:p>
    <w:p w:rsidR="00E71085" w:rsidRDefault="00A91BD4">
      <w:pPr>
        <w:pStyle w:val="Heading2"/>
        <w:rPr>
          <w:sz w:val="28"/>
          <w:szCs w:val="28"/>
        </w:rPr>
      </w:pPr>
      <w:r>
        <w:rPr>
          <w:sz w:val="28"/>
          <w:szCs w:val="28"/>
        </w:rPr>
        <w:t>4.1 Data Analysis</w:t>
      </w:r>
    </w:p>
    <w:p w:rsidR="00E71085" w:rsidRDefault="00A91BD4">
      <w:pPr>
        <w:pStyle w:val="NormalWeb"/>
        <w:rPr>
          <w:b/>
          <w:sz w:val="28"/>
          <w:szCs w:val="28"/>
        </w:rPr>
      </w:pPr>
      <w:r>
        <w:rPr>
          <w:b/>
          <w:sz w:val="28"/>
          <w:szCs w:val="28"/>
        </w:rPr>
        <w:lastRenderedPageBreak/>
        <w:t>SECTION A</w:t>
      </w:r>
    </w:p>
    <w:p w:rsidR="00E71085" w:rsidRDefault="00A91BD4" w:rsidP="00210729">
      <w:pPr>
        <w:pStyle w:val="NormalWeb"/>
        <w:ind w:firstLine="720"/>
        <w:rPr>
          <w:sz w:val="28"/>
          <w:szCs w:val="28"/>
        </w:rPr>
      </w:pPr>
      <w:r>
        <w:rPr>
          <w:sz w:val="28"/>
          <w:szCs w:val="28"/>
        </w:rPr>
        <w:t>Table 1 :</w:t>
      </w:r>
      <w:r w:rsidR="00CE6A62">
        <w:rPr>
          <w:sz w:val="28"/>
          <w:szCs w:val="28"/>
        </w:rPr>
        <w:t xml:space="preserve"> Distribution of based on gender </w:t>
      </w:r>
    </w:p>
    <w:tbl>
      <w:tblPr>
        <w:tblStyle w:val="TableGrid"/>
        <w:tblpPr w:leftFromText="180" w:rightFromText="180" w:vertAnchor="text" w:tblpY="1"/>
        <w:tblOverlap w:val="never"/>
        <w:tblW w:w="0" w:type="auto"/>
        <w:tblLook w:val="04A0"/>
      </w:tblPr>
      <w:tblGrid>
        <w:gridCol w:w="730"/>
        <w:gridCol w:w="1393"/>
        <w:gridCol w:w="1678"/>
        <w:gridCol w:w="1864"/>
        <w:gridCol w:w="1866"/>
      </w:tblGrid>
      <w:tr w:rsidR="00E71085" w:rsidTr="00BB163B">
        <w:trPr>
          <w:trHeight w:val="377"/>
        </w:trPr>
        <w:tc>
          <w:tcPr>
            <w:tcW w:w="730" w:type="dxa"/>
          </w:tcPr>
          <w:p w:rsidR="00E71085" w:rsidRDefault="00A91BD4" w:rsidP="00BB163B">
            <w:pPr>
              <w:pStyle w:val="NormalWeb"/>
              <w:rPr>
                <w:sz w:val="28"/>
                <w:szCs w:val="28"/>
              </w:rPr>
            </w:pPr>
            <w:r>
              <w:rPr>
                <w:sz w:val="28"/>
                <w:szCs w:val="28"/>
              </w:rPr>
              <w:t>S/N</w:t>
            </w:r>
          </w:p>
        </w:tc>
        <w:tc>
          <w:tcPr>
            <w:tcW w:w="1393" w:type="dxa"/>
          </w:tcPr>
          <w:p w:rsidR="00E71085" w:rsidRDefault="00210729" w:rsidP="00BB163B">
            <w:pPr>
              <w:pStyle w:val="NormalWeb"/>
              <w:rPr>
                <w:sz w:val="28"/>
                <w:szCs w:val="28"/>
              </w:rPr>
            </w:pPr>
            <w:r>
              <w:rPr>
                <w:sz w:val="28"/>
                <w:szCs w:val="28"/>
              </w:rPr>
              <w:t>Gender</w:t>
            </w:r>
          </w:p>
        </w:tc>
        <w:tc>
          <w:tcPr>
            <w:tcW w:w="1678" w:type="dxa"/>
          </w:tcPr>
          <w:p w:rsidR="00E71085" w:rsidRDefault="00210729" w:rsidP="00BB163B">
            <w:pPr>
              <w:pStyle w:val="NormalWeb"/>
              <w:rPr>
                <w:sz w:val="28"/>
                <w:szCs w:val="28"/>
              </w:rPr>
            </w:pPr>
            <w:r>
              <w:rPr>
                <w:sz w:val="28"/>
                <w:szCs w:val="28"/>
              </w:rPr>
              <w:t>Frequency(f)</w:t>
            </w:r>
          </w:p>
        </w:tc>
        <w:tc>
          <w:tcPr>
            <w:tcW w:w="1864" w:type="dxa"/>
          </w:tcPr>
          <w:p w:rsidR="00E71085" w:rsidRDefault="00210729" w:rsidP="00BB163B">
            <w:pPr>
              <w:pStyle w:val="NormalWeb"/>
              <w:rPr>
                <w:sz w:val="28"/>
                <w:szCs w:val="28"/>
              </w:rPr>
            </w:pPr>
            <w:r>
              <w:rPr>
                <w:sz w:val="28"/>
                <w:szCs w:val="28"/>
              </w:rPr>
              <w:t>Percentage(%)</w:t>
            </w:r>
          </w:p>
        </w:tc>
        <w:tc>
          <w:tcPr>
            <w:tcW w:w="1866" w:type="dxa"/>
          </w:tcPr>
          <w:p w:rsidR="00E71085" w:rsidRDefault="00E71085" w:rsidP="00BB163B">
            <w:pPr>
              <w:pStyle w:val="NormalWeb"/>
              <w:rPr>
                <w:sz w:val="28"/>
                <w:szCs w:val="28"/>
              </w:rPr>
            </w:pPr>
          </w:p>
        </w:tc>
      </w:tr>
      <w:tr w:rsidR="00E71085" w:rsidTr="00BB163B">
        <w:tc>
          <w:tcPr>
            <w:tcW w:w="730" w:type="dxa"/>
          </w:tcPr>
          <w:p w:rsidR="00E71085" w:rsidRDefault="00A91BD4" w:rsidP="00BB163B">
            <w:pPr>
              <w:pStyle w:val="NormalWeb"/>
              <w:rPr>
                <w:sz w:val="28"/>
                <w:szCs w:val="28"/>
              </w:rPr>
            </w:pPr>
            <w:r>
              <w:rPr>
                <w:sz w:val="28"/>
                <w:szCs w:val="28"/>
              </w:rPr>
              <w:t>1</w:t>
            </w:r>
          </w:p>
        </w:tc>
        <w:tc>
          <w:tcPr>
            <w:tcW w:w="1393" w:type="dxa"/>
          </w:tcPr>
          <w:p w:rsidR="00E71085" w:rsidRDefault="00210729" w:rsidP="00BB163B">
            <w:pPr>
              <w:pStyle w:val="NormalWeb"/>
              <w:rPr>
                <w:sz w:val="28"/>
                <w:szCs w:val="28"/>
              </w:rPr>
            </w:pPr>
            <w:r>
              <w:rPr>
                <w:sz w:val="28"/>
                <w:szCs w:val="28"/>
              </w:rPr>
              <w:t>Male</w:t>
            </w:r>
          </w:p>
        </w:tc>
        <w:tc>
          <w:tcPr>
            <w:tcW w:w="1678" w:type="dxa"/>
          </w:tcPr>
          <w:p w:rsidR="00E71085" w:rsidRDefault="00210729" w:rsidP="00BB163B">
            <w:pPr>
              <w:pStyle w:val="NormalWeb"/>
              <w:rPr>
                <w:sz w:val="28"/>
                <w:szCs w:val="28"/>
              </w:rPr>
            </w:pPr>
            <w:r>
              <w:rPr>
                <w:sz w:val="28"/>
                <w:szCs w:val="28"/>
              </w:rPr>
              <w:t>68</w:t>
            </w:r>
          </w:p>
        </w:tc>
        <w:tc>
          <w:tcPr>
            <w:tcW w:w="1864" w:type="dxa"/>
          </w:tcPr>
          <w:p w:rsidR="00E71085" w:rsidRDefault="00210729" w:rsidP="00BB163B">
            <w:pPr>
              <w:pStyle w:val="NormalWeb"/>
              <w:rPr>
                <w:sz w:val="28"/>
                <w:szCs w:val="28"/>
              </w:rPr>
            </w:pPr>
            <w:r>
              <w:rPr>
                <w:sz w:val="28"/>
                <w:szCs w:val="28"/>
              </w:rPr>
              <w:t>68%</w:t>
            </w:r>
          </w:p>
        </w:tc>
        <w:tc>
          <w:tcPr>
            <w:tcW w:w="1866" w:type="dxa"/>
          </w:tcPr>
          <w:p w:rsidR="00E71085" w:rsidRDefault="00E71085"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r>
              <w:rPr>
                <w:sz w:val="28"/>
                <w:szCs w:val="28"/>
              </w:rPr>
              <w:t>2</w:t>
            </w:r>
          </w:p>
        </w:tc>
        <w:tc>
          <w:tcPr>
            <w:tcW w:w="1393" w:type="dxa"/>
          </w:tcPr>
          <w:p w:rsidR="00210729" w:rsidRDefault="00210729" w:rsidP="00BB163B">
            <w:pPr>
              <w:pStyle w:val="NormalWeb"/>
              <w:rPr>
                <w:sz w:val="28"/>
                <w:szCs w:val="28"/>
              </w:rPr>
            </w:pPr>
            <w:r>
              <w:rPr>
                <w:sz w:val="28"/>
                <w:szCs w:val="28"/>
              </w:rPr>
              <w:t>Female</w:t>
            </w:r>
          </w:p>
        </w:tc>
        <w:tc>
          <w:tcPr>
            <w:tcW w:w="1678" w:type="dxa"/>
          </w:tcPr>
          <w:p w:rsidR="00210729" w:rsidRDefault="00210729" w:rsidP="00BB163B">
            <w:pPr>
              <w:pStyle w:val="NormalWeb"/>
              <w:rPr>
                <w:sz w:val="28"/>
                <w:szCs w:val="28"/>
              </w:rPr>
            </w:pPr>
            <w:r>
              <w:rPr>
                <w:sz w:val="28"/>
                <w:szCs w:val="28"/>
              </w:rPr>
              <w:t>32</w:t>
            </w:r>
          </w:p>
        </w:tc>
        <w:tc>
          <w:tcPr>
            <w:tcW w:w="1864" w:type="dxa"/>
          </w:tcPr>
          <w:p w:rsidR="00210729" w:rsidRDefault="00210729" w:rsidP="00BB163B">
            <w:pPr>
              <w:pStyle w:val="NormalWeb"/>
              <w:rPr>
                <w:sz w:val="28"/>
                <w:szCs w:val="28"/>
              </w:rPr>
            </w:pPr>
            <w:r>
              <w:rPr>
                <w:sz w:val="28"/>
                <w:szCs w:val="28"/>
              </w:rPr>
              <w:t>32%</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p>
        </w:tc>
        <w:tc>
          <w:tcPr>
            <w:tcW w:w="1393" w:type="dxa"/>
          </w:tcPr>
          <w:p w:rsidR="00210729" w:rsidRDefault="00210729" w:rsidP="00BB163B">
            <w:pPr>
              <w:pStyle w:val="NormalWeb"/>
              <w:rPr>
                <w:sz w:val="28"/>
                <w:szCs w:val="28"/>
              </w:rPr>
            </w:pPr>
            <w:r>
              <w:rPr>
                <w:sz w:val="28"/>
                <w:szCs w:val="28"/>
              </w:rPr>
              <w:t>Total</w:t>
            </w:r>
          </w:p>
        </w:tc>
        <w:tc>
          <w:tcPr>
            <w:tcW w:w="1678" w:type="dxa"/>
          </w:tcPr>
          <w:p w:rsidR="00210729" w:rsidRDefault="00210729" w:rsidP="00BB163B">
            <w:pPr>
              <w:pStyle w:val="NormalWeb"/>
              <w:rPr>
                <w:sz w:val="28"/>
                <w:szCs w:val="28"/>
              </w:rPr>
            </w:pPr>
          </w:p>
        </w:tc>
        <w:tc>
          <w:tcPr>
            <w:tcW w:w="1864" w:type="dxa"/>
          </w:tcPr>
          <w:p w:rsidR="00210729" w:rsidRDefault="00210729" w:rsidP="00BB163B">
            <w:pPr>
              <w:pStyle w:val="NormalWeb"/>
              <w:rPr>
                <w:sz w:val="28"/>
                <w:szCs w:val="28"/>
              </w:rPr>
            </w:pPr>
            <w:r>
              <w:rPr>
                <w:sz w:val="28"/>
                <w:szCs w:val="28"/>
              </w:rPr>
              <w:t>100</w:t>
            </w:r>
          </w:p>
        </w:tc>
        <w:tc>
          <w:tcPr>
            <w:tcW w:w="1866" w:type="dxa"/>
          </w:tcPr>
          <w:p w:rsidR="00210729" w:rsidRDefault="00210729" w:rsidP="00BB163B">
            <w:pPr>
              <w:pStyle w:val="NormalWeb"/>
              <w:rPr>
                <w:sz w:val="28"/>
                <w:szCs w:val="28"/>
              </w:rPr>
            </w:pPr>
          </w:p>
        </w:tc>
      </w:tr>
      <w:tr w:rsidR="00210729" w:rsidTr="00BB163B">
        <w:tc>
          <w:tcPr>
            <w:tcW w:w="7531" w:type="dxa"/>
            <w:gridSpan w:val="5"/>
            <w:tcBorders>
              <w:left w:val="nil"/>
              <w:right w:val="nil"/>
            </w:tcBorders>
          </w:tcPr>
          <w:p w:rsidR="00210729" w:rsidRDefault="00210729" w:rsidP="00BB163B">
            <w:pPr>
              <w:pStyle w:val="NormalWeb"/>
              <w:rPr>
                <w:sz w:val="28"/>
                <w:szCs w:val="28"/>
              </w:rPr>
            </w:pPr>
          </w:p>
          <w:p w:rsidR="00210729" w:rsidRDefault="00210729" w:rsidP="00BB163B">
            <w:pPr>
              <w:pStyle w:val="NormalWeb"/>
              <w:rPr>
                <w:sz w:val="28"/>
                <w:szCs w:val="28"/>
              </w:rPr>
            </w:pPr>
            <w:r>
              <w:rPr>
                <w:sz w:val="28"/>
                <w:szCs w:val="28"/>
              </w:rPr>
              <w:t>From table 1 above, 68% of the respondents are male while 32% are female. This means more male respondents are considered.</w:t>
            </w:r>
          </w:p>
          <w:p w:rsidR="00210729" w:rsidRDefault="00210729" w:rsidP="00BB163B">
            <w:pPr>
              <w:pStyle w:val="NormalWeb"/>
              <w:rPr>
                <w:sz w:val="28"/>
                <w:szCs w:val="28"/>
              </w:rPr>
            </w:pPr>
          </w:p>
          <w:p w:rsidR="00210729" w:rsidRDefault="00210729" w:rsidP="00BB163B">
            <w:pPr>
              <w:pStyle w:val="NormalWeb"/>
              <w:rPr>
                <w:sz w:val="28"/>
                <w:szCs w:val="28"/>
              </w:rPr>
            </w:pPr>
            <w:r>
              <w:rPr>
                <w:sz w:val="28"/>
                <w:szCs w:val="28"/>
              </w:rPr>
              <w:t xml:space="preserve">Table 2: distribution of the respondents based on age </w:t>
            </w:r>
          </w:p>
          <w:p w:rsidR="00210729" w:rsidRDefault="00210729" w:rsidP="00BB163B">
            <w:pPr>
              <w:pStyle w:val="NormalWeb"/>
              <w:rPr>
                <w:sz w:val="28"/>
                <w:szCs w:val="28"/>
              </w:rPr>
            </w:pPr>
          </w:p>
        </w:tc>
      </w:tr>
      <w:tr w:rsidR="00210729" w:rsidTr="00F37006">
        <w:trPr>
          <w:trHeight w:val="935"/>
        </w:trPr>
        <w:tc>
          <w:tcPr>
            <w:tcW w:w="730" w:type="dxa"/>
          </w:tcPr>
          <w:p w:rsidR="00210729" w:rsidRDefault="00210729" w:rsidP="00BB163B">
            <w:pPr>
              <w:pStyle w:val="NormalWeb"/>
              <w:rPr>
                <w:sz w:val="28"/>
                <w:szCs w:val="28"/>
              </w:rPr>
            </w:pPr>
            <w:r>
              <w:rPr>
                <w:sz w:val="28"/>
                <w:szCs w:val="28"/>
              </w:rPr>
              <w:t>S/N</w:t>
            </w:r>
          </w:p>
        </w:tc>
        <w:tc>
          <w:tcPr>
            <w:tcW w:w="1393" w:type="dxa"/>
          </w:tcPr>
          <w:p w:rsidR="00210729" w:rsidRDefault="00210729" w:rsidP="00BB163B">
            <w:pPr>
              <w:pStyle w:val="NormalWeb"/>
              <w:rPr>
                <w:sz w:val="28"/>
                <w:szCs w:val="28"/>
              </w:rPr>
            </w:pPr>
            <w:r>
              <w:rPr>
                <w:sz w:val="28"/>
                <w:szCs w:val="28"/>
              </w:rPr>
              <w:t>Age</w:t>
            </w:r>
          </w:p>
        </w:tc>
        <w:tc>
          <w:tcPr>
            <w:tcW w:w="1678" w:type="dxa"/>
          </w:tcPr>
          <w:p w:rsidR="00210729" w:rsidRDefault="00BB163B" w:rsidP="00BB163B">
            <w:pPr>
              <w:pStyle w:val="NormalWeb"/>
              <w:rPr>
                <w:sz w:val="28"/>
                <w:szCs w:val="28"/>
              </w:rPr>
            </w:pPr>
            <w:r>
              <w:rPr>
                <w:sz w:val="28"/>
                <w:szCs w:val="28"/>
              </w:rPr>
              <w:t>Frequency</w:t>
            </w:r>
            <w:r w:rsidR="00210729">
              <w:rPr>
                <w:sz w:val="28"/>
                <w:szCs w:val="28"/>
              </w:rPr>
              <w:t>(f)</w:t>
            </w:r>
          </w:p>
        </w:tc>
        <w:tc>
          <w:tcPr>
            <w:tcW w:w="1864" w:type="dxa"/>
          </w:tcPr>
          <w:p w:rsidR="00210729" w:rsidRDefault="00210729" w:rsidP="00BB163B">
            <w:pPr>
              <w:pStyle w:val="NormalWeb"/>
              <w:rPr>
                <w:sz w:val="28"/>
                <w:szCs w:val="28"/>
              </w:rPr>
            </w:pPr>
            <w:r>
              <w:rPr>
                <w:sz w:val="28"/>
                <w:szCs w:val="28"/>
              </w:rPr>
              <w:t>Percentage(%)</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r>
              <w:rPr>
                <w:sz w:val="28"/>
                <w:szCs w:val="28"/>
              </w:rPr>
              <w:t>1</w:t>
            </w:r>
          </w:p>
        </w:tc>
        <w:tc>
          <w:tcPr>
            <w:tcW w:w="1393" w:type="dxa"/>
          </w:tcPr>
          <w:p w:rsidR="00210729" w:rsidRDefault="00210729" w:rsidP="00BB163B">
            <w:pPr>
              <w:pStyle w:val="NormalWeb"/>
              <w:rPr>
                <w:sz w:val="28"/>
                <w:szCs w:val="28"/>
              </w:rPr>
            </w:pPr>
            <w:r>
              <w:rPr>
                <w:sz w:val="28"/>
                <w:szCs w:val="28"/>
              </w:rPr>
              <w:t>10-12</w:t>
            </w:r>
          </w:p>
        </w:tc>
        <w:tc>
          <w:tcPr>
            <w:tcW w:w="1678" w:type="dxa"/>
          </w:tcPr>
          <w:p w:rsidR="00210729" w:rsidRDefault="00BB163B" w:rsidP="00BB163B">
            <w:pPr>
              <w:pStyle w:val="NormalWeb"/>
              <w:rPr>
                <w:sz w:val="28"/>
                <w:szCs w:val="28"/>
              </w:rPr>
            </w:pPr>
            <w:r>
              <w:rPr>
                <w:sz w:val="28"/>
                <w:szCs w:val="28"/>
              </w:rPr>
              <w:t>34</w:t>
            </w:r>
          </w:p>
        </w:tc>
        <w:tc>
          <w:tcPr>
            <w:tcW w:w="1864" w:type="dxa"/>
          </w:tcPr>
          <w:p w:rsidR="00210729" w:rsidRDefault="00BB163B" w:rsidP="00BB163B">
            <w:pPr>
              <w:pStyle w:val="NormalWeb"/>
              <w:rPr>
                <w:sz w:val="28"/>
                <w:szCs w:val="28"/>
              </w:rPr>
            </w:pPr>
            <w:r>
              <w:rPr>
                <w:sz w:val="28"/>
                <w:szCs w:val="28"/>
              </w:rPr>
              <w:t>34%</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r>
              <w:rPr>
                <w:sz w:val="28"/>
                <w:szCs w:val="28"/>
              </w:rPr>
              <w:t>2</w:t>
            </w:r>
          </w:p>
        </w:tc>
        <w:tc>
          <w:tcPr>
            <w:tcW w:w="1393" w:type="dxa"/>
          </w:tcPr>
          <w:p w:rsidR="00210729" w:rsidRDefault="00BB163B" w:rsidP="00BB163B">
            <w:pPr>
              <w:pStyle w:val="NormalWeb"/>
              <w:rPr>
                <w:sz w:val="28"/>
                <w:szCs w:val="28"/>
              </w:rPr>
            </w:pPr>
            <w:r>
              <w:rPr>
                <w:sz w:val="28"/>
                <w:szCs w:val="28"/>
              </w:rPr>
              <w:t>13-15</w:t>
            </w:r>
          </w:p>
        </w:tc>
        <w:tc>
          <w:tcPr>
            <w:tcW w:w="1678" w:type="dxa"/>
          </w:tcPr>
          <w:p w:rsidR="00210729" w:rsidRDefault="00BB163B" w:rsidP="00BB163B">
            <w:pPr>
              <w:pStyle w:val="NormalWeb"/>
              <w:rPr>
                <w:sz w:val="28"/>
                <w:szCs w:val="28"/>
              </w:rPr>
            </w:pPr>
            <w:r>
              <w:rPr>
                <w:sz w:val="28"/>
                <w:szCs w:val="28"/>
              </w:rPr>
              <w:t>59</w:t>
            </w:r>
          </w:p>
        </w:tc>
        <w:tc>
          <w:tcPr>
            <w:tcW w:w="1864" w:type="dxa"/>
          </w:tcPr>
          <w:p w:rsidR="00210729" w:rsidRDefault="00BB163B" w:rsidP="00BB163B">
            <w:pPr>
              <w:pStyle w:val="NormalWeb"/>
              <w:rPr>
                <w:sz w:val="28"/>
                <w:szCs w:val="28"/>
              </w:rPr>
            </w:pPr>
            <w:r>
              <w:rPr>
                <w:sz w:val="28"/>
                <w:szCs w:val="28"/>
              </w:rPr>
              <w:t>59%</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r>
              <w:rPr>
                <w:sz w:val="28"/>
                <w:szCs w:val="28"/>
              </w:rPr>
              <w:t>3</w:t>
            </w:r>
          </w:p>
        </w:tc>
        <w:tc>
          <w:tcPr>
            <w:tcW w:w="1393" w:type="dxa"/>
          </w:tcPr>
          <w:p w:rsidR="00210729" w:rsidRDefault="00BB163B" w:rsidP="00BB163B">
            <w:pPr>
              <w:pStyle w:val="NormalWeb"/>
              <w:rPr>
                <w:sz w:val="28"/>
                <w:szCs w:val="28"/>
              </w:rPr>
            </w:pPr>
            <w:r>
              <w:rPr>
                <w:sz w:val="28"/>
                <w:szCs w:val="28"/>
              </w:rPr>
              <w:t>16-18</w:t>
            </w:r>
          </w:p>
        </w:tc>
        <w:tc>
          <w:tcPr>
            <w:tcW w:w="1678" w:type="dxa"/>
          </w:tcPr>
          <w:p w:rsidR="00210729" w:rsidRDefault="00BB163B" w:rsidP="00BB163B">
            <w:pPr>
              <w:pStyle w:val="NormalWeb"/>
              <w:rPr>
                <w:sz w:val="28"/>
                <w:szCs w:val="28"/>
              </w:rPr>
            </w:pPr>
            <w:r>
              <w:rPr>
                <w:sz w:val="28"/>
                <w:szCs w:val="28"/>
              </w:rPr>
              <w:t>5</w:t>
            </w:r>
          </w:p>
        </w:tc>
        <w:tc>
          <w:tcPr>
            <w:tcW w:w="1864" w:type="dxa"/>
          </w:tcPr>
          <w:p w:rsidR="00210729" w:rsidRDefault="00BB163B" w:rsidP="00BB163B">
            <w:pPr>
              <w:pStyle w:val="NormalWeb"/>
              <w:rPr>
                <w:sz w:val="28"/>
                <w:szCs w:val="28"/>
              </w:rPr>
            </w:pPr>
            <w:r>
              <w:rPr>
                <w:sz w:val="28"/>
                <w:szCs w:val="28"/>
              </w:rPr>
              <w:t>5%</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BB163B" w:rsidP="00BB163B">
            <w:pPr>
              <w:pStyle w:val="NormalWeb"/>
              <w:rPr>
                <w:sz w:val="28"/>
                <w:szCs w:val="28"/>
              </w:rPr>
            </w:pPr>
            <w:r>
              <w:rPr>
                <w:sz w:val="28"/>
                <w:szCs w:val="28"/>
              </w:rPr>
              <w:t>4</w:t>
            </w:r>
          </w:p>
        </w:tc>
        <w:tc>
          <w:tcPr>
            <w:tcW w:w="1393" w:type="dxa"/>
          </w:tcPr>
          <w:p w:rsidR="00210729" w:rsidRDefault="00BB163B" w:rsidP="00BB163B">
            <w:pPr>
              <w:pStyle w:val="NormalWeb"/>
              <w:rPr>
                <w:sz w:val="28"/>
                <w:szCs w:val="28"/>
              </w:rPr>
            </w:pPr>
            <w:r>
              <w:rPr>
                <w:sz w:val="28"/>
                <w:szCs w:val="28"/>
              </w:rPr>
              <w:t>Above 18</w:t>
            </w:r>
          </w:p>
        </w:tc>
        <w:tc>
          <w:tcPr>
            <w:tcW w:w="1678" w:type="dxa"/>
          </w:tcPr>
          <w:p w:rsidR="00210729" w:rsidRDefault="00BB163B" w:rsidP="00BB163B">
            <w:pPr>
              <w:pStyle w:val="NormalWeb"/>
              <w:rPr>
                <w:sz w:val="28"/>
                <w:szCs w:val="28"/>
              </w:rPr>
            </w:pPr>
            <w:r>
              <w:rPr>
                <w:sz w:val="28"/>
                <w:szCs w:val="28"/>
              </w:rPr>
              <w:t>2</w:t>
            </w:r>
          </w:p>
        </w:tc>
        <w:tc>
          <w:tcPr>
            <w:tcW w:w="1864" w:type="dxa"/>
          </w:tcPr>
          <w:p w:rsidR="00210729" w:rsidRDefault="00BB163B" w:rsidP="00BB163B">
            <w:pPr>
              <w:pStyle w:val="NormalWeb"/>
              <w:rPr>
                <w:sz w:val="28"/>
                <w:szCs w:val="28"/>
              </w:rPr>
            </w:pPr>
            <w:r>
              <w:rPr>
                <w:sz w:val="28"/>
                <w:szCs w:val="28"/>
              </w:rPr>
              <w:t>2%</w:t>
            </w:r>
          </w:p>
        </w:tc>
        <w:tc>
          <w:tcPr>
            <w:tcW w:w="1866" w:type="dxa"/>
          </w:tcPr>
          <w:p w:rsidR="00210729" w:rsidRDefault="00210729" w:rsidP="00BB163B">
            <w:pPr>
              <w:pStyle w:val="NormalWeb"/>
              <w:rPr>
                <w:sz w:val="28"/>
                <w:szCs w:val="28"/>
              </w:rPr>
            </w:pPr>
          </w:p>
        </w:tc>
      </w:tr>
      <w:tr w:rsidR="00210729" w:rsidTr="00BB163B">
        <w:tc>
          <w:tcPr>
            <w:tcW w:w="730" w:type="dxa"/>
          </w:tcPr>
          <w:p w:rsidR="00210729" w:rsidRDefault="00210729" w:rsidP="00BB163B">
            <w:pPr>
              <w:pStyle w:val="NormalWeb"/>
              <w:rPr>
                <w:sz w:val="28"/>
                <w:szCs w:val="28"/>
              </w:rPr>
            </w:pPr>
          </w:p>
        </w:tc>
        <w:tc>
          <w:tcPr>
            <w:tcW w:w="1393" w:type="dxa"/>
          </w:tcPr>
          <w:p w:rsidR="00210729" w:rsidRDefault="00BB163B" w:rsidP="00BB163B">
            <w:pPr>
              <w:pStyle w:val="NormalWeb"/>
              <w:rPr>
                <w:sz w:val="28"/>
                <w:szCs w:val="28"/>
              </w:rPr>
            </w:pPr>
            <w:r>
              <w:rPr>
                <w:sz w:val="28"/>
                <w:szCs w:val="28"/>
              </w:rPr>
              <w:t>Total</w:t>
            </w:r>
          </w:p>
        </w:tc>
        <w:tc>
          <w:tcPr>
            <w:tcW w:w="1678" w:type="dxa"/>
          </w:tcPr>
          <w:p w:rsidR="00210729" w:rsidRDefault="00BB163B" w:rsidP="00BB163B">
            <w:pPr>
              <w:pStyle w:val="NormalWeb"/>
              <w:rPr>
                <w:sz w:val="28"/>
                <w:szCs w:val="28"/>
              </w:rPr>
            </w:pPr>
            <w:r>
              <w:rPr>
                <w:sz w:val="28"/>
                <w:szCs w:val="28"/>
              </w:rPr>
              <w:t>100</w:t>
            </w:r>
          </w:p>
        </w:tc>
        <w:tc>
          <w:tcPr>
            <w:tcW w:w="1864" w:type="dxa"/>
          </w:tcPr>
          <w:p w:rsidR="00210729" w:rsidRDefault="00BB163B" w:rsidP="00BB163B">
            <w:pPr>
              <w:pStyle w:val="NormalWeb"/>
              <w:rPr>
                <w:sz w:val="28"/>
                <w:szCs w:val="28"/>
              </w:rPr>
            </w:pPr>
            <w:r>
              <w:rPr>
                <w:sz w:val="28"/>
                <w:szCs w:val="28"/>
              </w:rPr>
              <w:t>100%</w:t>
            </w:r>
          </w:p>
        </w:tc>
        <w:tc>
          <w:tcPr>
            <w:tcW w:w="1866" w:type="dxa"/>
          </w:tcPr>
          <w:p w:rsidR="00210729" w:rsidRDefault="00210729" w:rsidP="00BB163B">
            <w:pPr>
              <w:pStyle w:val="NormalWeb"/>
              <w:rPr>
                <w:sz w:val="28"/>
                <w:szCs w:val="28"/>
              </w:rPr>
            </w:pPr>
          </w:p>
        </w:tc>
      </w:tr>
      <w:tr w:rsidR="00210729" w:rsidTr="00BB163B">
        <w:tc>
          <w:tcPr>
            <w:tcW w:w="7531" w:type="dxa"/>
            <w:gridSpan w:val="5"/>
            <w:tcBorders>
              <w:left w:val="nil"/>
              <w:right w:val="nil"/>
            </w:tcBorders>
          </w:tcPr>
          <w:p w:rsidR="00210729" w:rsidRDefault="00210729" w:rsidP="00BB163B">
            <w:pPr>
              <w:pStyle w:val="NormalWeb"/>
              <w:rPr>
                <w:sz w:val="28"/>
                <w:szCs w:val="28"/>
              </w:rPr>
            </w:pPr>
          </w:p>
          <w:p w:rsidR="00210729" w:rsidRDefault="00210729" w:rsidP="00BB163B">
            <w:pPr>
              <w:pStyle w:val="NormalWeb"/>
              <w:rPr>
                <w:sz w:val="28"/>
                <w:szCs w:val="28"/>
              </w:rPr>
            </w:pPr>
            <w:r>
              <w:rPr>
                <w:sz w:val="28"/>
                <w:szCs w:val="28"/>
              </w:rPr>
              <w:t>From table 2, 34% fall within the age range of 10-12, 59%  fall within 13-15, 5% fall within 16-18, while above 18 years of age are just 2% .This shows that most of the respondents are between the  age of 13 and 15.</w:t>
            </w:r>
          </w:p>
          <w:p w:rsidR="00210729" w:rsidRDefault="00210729" w:rsidP="00BB163B">
            <w:pPr>
              <w:pStyle w:val="NormalWeb"/>
              <w:rPr>
                <w:sz w:val="28"/>
                <w:szCs w:val="28"/>
              </w:rPr>
            </w:pPr>
          </w:p>
          <w:p w:rsidR="00210729" w:rsidRDefault="00210729" w:rsidP="00BB163B">
            <w:pPr>
              <w:pStyle w:val="NormalWeb"/>
              <w:rPr>
                <w:sz w:val="28"/>
                <w:szCs w:val="28"/>
              </w:rPr>
            </w:pPr>
          </w:p>
          <w:p w:rsidR="00210729" w:rsidRDefault="00210729" w:rsidP="00BB163B">
            <w:pPr>
              <w:pStyle w:val="NormalWeb"/>
              <w:rPr>
                <w:sz w:val="28"/>
                <w:szCs w:val="28"/>
              </w:rPr>
            </w:pPr>
          </w:p>
          <w:p w:rsidR="00210729" w:rsidRDefault="00210729" w:rsidP="00BB163B">
            <w:pPr>
              <w:pStyle w:val="NormalWeb"/>
              <w:rPr>
                <w:sz w:val="28"/>
                <w:szCs w:val="28"/>
              </w:rPr>
            </w:pPr>
          </w:p>
          <w:p w:rsidR="00210729" w:rsidRDefault="00210729" w:rsidP="00BB163B">
            <w:pPr>
              <w:pStyle w:val="NormalWeb"/>
              <w:rPr>
                <w:sz w:val="28"/>
                <w:szCs w:val="28"/>
              </w:rPr>
            </w:pPr>
          </w:p>
          <w:p w:rsidR="00210729" w:rsidRDefault="00210729" w:rsidP="00BB163B">
            <w:pPr>
              <w:pStyle w:val="NormalWeb"/>
              <w:rPr>
                <w:sz w:val="28"/>
                <w:szCs w:val="28"/>
              </w:rPr>
            </w:pPr>
            <w:r>
              <w:rPr>
                <w:sz w:val="28"/>
                <w:szCs w:val="28"/>
              </w:rPr>
              <w:t>Table 3:Distribution of the respondents based on class</w:t>
            </w:r>
          </w:p>
          <w:p w:rsidR="00210729" w:rsidRDefault="00210729" w:rsidP="00BB163B">
            <w:pPr>
              <w:pStyle w:val="NormalWeb"/>
              <w:rPr>
                <w:sz w:val="28"/>
                <w:szCs w:val="28"/>
              </w:rPr>
            </w:pPr>
          </w:p>
        </w:tc>
      </w:tr>
      <w:tr w:rsidR="00210729" w:rsidTr="00BB163B">
        <w:trPr>
          <w:gridAfter w:val="1"/>
          <w:wAfter w:w="1866" w:type="dxa"/>
        </w:trPr>
        <w:tc>
          <w:tcPr>
            <w:tcW w:w="730" w:type="dxa"/>
          </w:tcPr>
          <w:p w:rsidR="00210729" w:rsidRDefault="00BB163B" w:rsidP="00BB163B">
            <w:pPr>
              <w:pStyle w:val="NormalWeb"/>
              <w:rPr>
                <w:sz w:val="28"/>
                <w:szCs w:val="28"/>
              </w:rPr>
            </w:pPr>
            <w:r>
              <w:rPr>
                <w:sz w:val="28"/>
                <w:szCs w:val="28"/>
              </w:rPr>
              <w:lastRenderedPageBreak/>
              <w:t>S/N</w:t>
            </w:r>
          </w:p>
        </w:tc>
        <w:tc>
          <w:tcPr>
            <w:tcW w:w="1393" w:type="dxa"/>
          </w:tcPr>
          <w:p w:rsidR="00210729" w:rsidRDefault="00BB163B" w:rsidP="00BB163B">
            <w:pPr>
              <w:pStyle w:val="NormalWeb"/>
              <w:rPr>
                <w:sz w:val="28"/>
                <w:szCs w:val="28"/>
              </w:rPr>
            </w:pPr>
            <w:r>
              <w:rPr>
                <w:sz w:val="28"/>
                <w:szCs w:val="28"/>
              </w:rPr>
              <w:t>Class</w:t>
            </w:r>
          </w:p>
        </w:tc>
        <w:tc>
          <w:tcPr>
            <w:tcW w:w="1678" w:type="dxa"/>
          </w:tcPr>
          <w:p w:rsidR="00210729" w:rsidRDefault="00BB163B" w:rsidP="00BB163B">
            <w:pPr>
              <w:pStyle w:val="NormalWeb"/>
              <w:rPr>
                <w:sz w:val="28"/>
                <w:szCs w:val="28"/>
              </w:rPr>
            </w:pPr>
            <w:r>
              <w:rPr>
                <w:sz w:val="28"/>
                <w:szCs w:val="28"/>
              </w:rPr>
              <w:t>Frequency(f)</w:t>
            </w:r>
          </w:p>
        </w:tc>
        <w:tc>
          <w:tcPr>
            <w:tcW w:w="1864" w:type="dxa"/>
          </w:tcPr>
          <w:p w:rsidR="00210729" w:rsidRDefault="00BB163B" w:rsidP="00BB163B">
            <w:pPr>
              <w:pStyle w:val="NormalWeb"/>
              <w:rPr>
                <w:sz w:val="28"/>
                <w:szCs w:val="28"/>
              </w:rPr>
            </w:pPr>
            <w:r>
              <w:rPr>
                <w:sz w:val="28"/>
                <w:szCs w:val="28"/>
              </w:rPr>
              <w:t>Percentage(%)</w:t>
            </w:r>
          </w:p>
        </w:tc>
      </w:tr>
      <w:tr w:rsidR="00210729" w:rsidTr="00BB163B">
        <w:trPr>
          <w:gridAfter w:val="1"/>
          <w:wAfter w:w="1866" w:type="dxa"/>
          <w:trHeight w:val="359"/>
        </w:trPr>
        <w:tc>
          <w:tcPr>
            <w:tcW w:w="730" w:type="dxa"/>
          </w:tcPr>
          <w:p w:rsidR="00210729" w:rsidRDefault="00BB163B" w:rsidP="00BB163B">
            <w:pPr>
              <w:pStyle w:val="NormalWeb"/>
              <w:rPr>
                <w:sz w:val="28"/>
                <w:szCs w:val="28"/>
              </w:rPr>
            </w:pPr>
            <w:r>
              <w:rPr>
                <w:sz w:val="28"/>
                <w:szCs w:val="28"/>
              </w:rPr>
              <w:t>1</w:t>
            </w:r>
          </w:p>
        </w:tc>
        <w:tc>
          <w:tcPr>
            <w:tcW w:w="1393" w:type="dxa"/>
          </w:tcPr>
          <w:p w:rsidR="00210729" w:rsidRDefault="00BB163B" w:rsidP="00BB163B">
            <w:pPr>
              <w:pStyle w:val="NormalWeb"/>
              <w:rPr>
                <w:sz w:val="28"/>
                <w:szCs w:val="28"/>
              </w:rPr>
            </w:pPr>
            <w:r>
              <w:rPr>
                <w:sz w:val="28"/>
                <w:szCs w:val="28"/>
              </w:rPr>
              <w:t>Jss2</w:t>
            </w:r>
          </w:p>
        </w:tc>
        <w:tc>
          <w:tcPr>
            <w:tcW w:w="1678" w:type="dxa"/>
          </w:tcPr>
          <w:p w:rsidR="00210729" w:rsidRDefault="00BB163B" w:rsidP="00BB163B">
            <w:pPr>
              <w:pStyle w:val="NormalWeb"/>
              <w:rPr>
                <w:sz w:val="28"/>
                <w:szCs w:val="28"/>
              </w:rPr>
            </w:pPr>
            <w:r>
              <w:rPr>
                <w:sz w:val="28"/>
                <w:szCs w:val="28"/>
              </w:rPr>
              <w:t>40</w:t>
            </w:r>
          </w:p>
        </w:tc>
        <w:tc>
          <w:tcPr>
            <w:tcW w:w="1864" w:type="dxa"/>
          </w:tcPr>
          <w:p w:rsidR="00210729" w:rsidRDefault="00BB163B" w:rsidP="00BB163B">
            <w:pPr>
              <w:pStyle w:val="NormalWeb"/>
              <w:rPr>
                <w:sz w:val="28"/>
                <w:szCs w:val="28"/>
              </w:rPr>
            </w:pPr>
            <w:r>
              <w:rPr>
                <w:sz w:val="28"/>
                <w:szCs w:val="28"/>
              </w:rPr>
              <w:t>40%</w:t>
            </w:r>
          </w:p>
        </w:tc>
      </w:tr>
      <w:tr w:rsidR="00210729" w:rsidTr="00BB163B">
        <w:trPr>
          <w:gridAfter w:val="1"/>
          <w:wAfter w:w="1866" w:type="dxa"/>
        </w:trPr>
        <w:tc>
          <w:tcPr>
            <w:tcW w:w="730" w:type="dxa"/>
          </w:tcPr>
          <w:p w:rsidR="00210729" w:rsidRDefault="00BB163B" w:rsidP="00BB163B">
            <w:pPr>
              <w:pStyle w:val="NormalWeb"/>
              <w:rPr>
                <w:sz w:val="28"/>
                <w:szCs w:val="28"/>
              </w:rPr>
            </w:pPr>
            <w:r>
              <w:rPr>
                <w:sz w:val="28"/>
                <w:szCs w:val="28"/>
              </w:rPr>
              <w:t>2</w:t>
            </w:r>
          </w:p>
        </w:tc>
        <w:tc>
          <w:tcPr>
            <w:tcW w:w="1393" w:type="dxa"/>
          </w:tcPr>
          <w:p w:rsidR="00210729" w:rsidRDefault="00BB163B" w:rsidP="00BB163B">
            <w:pPr>
              <w:pStyle w:val="NormalWeb"/>
              <w:rPr>
                <w:sz w:val="28"/>
                <w:szCs w:val="28"/>
              </w:rPr>
            </w:pPr>
            <w:r>
              <w:rPr>
                <w:sz w:val="28"/>
                <w:szCs w:val="28"/>
              </w:rPr>
              <w:t>Jss3</w:t>
            </w:r>
          </w:p>
        </w:tc>
        <w:tc>
          <w:tcPr>
            <w:tcW w:w="1678" w:type="dxa"/>
          </w:tcPr>
          <w:p w:rsidR="00210729" w:rsidRDefault="00BB163B" w:rsidP="00BB163B">
            <w:pPr>
              <w:pStyle w:val="NormalWeb"/>
              <w:rPr>
                <w:sz w:val="28"/>
                <w:szCs w:val="28"/>
              </w:rPr>
            </w:pPr>
            <w:r>
              <w:rPr>
                <w:sz w:val="28"/>
                <w:szCs w:val="28"/>
              </w:rPr>
              <w:t>60</w:t>
            </w:r>
          </w:p>
        </w:tc>
        <w:tc>
          <w:tcPr>
            <w:tcW w:w="1864" w:type="dxa"/>
          </w:tcPr>
          <w:p w:rsidR="00210729" w:rsidRDefault="00BB163B" w:rsidP="00BB163B">
            <w:pPr>
              <w:pStyle w:val="NormalWeb"/>
              <w:rPr>
                <w:sz w:val="28"/>
                <w:szCs w:val="28"/>
              </w:rPr>
            </w:pPr>
            <w:r>
              <w:rPr>
                <w:sz w:val="28"/>
                <w:szCs w:val="28"/>
              </w:rPr>
              <w:t>60%</w:t>
            </w:r>
          </w:p>
        </w:tc>
      </w:tr>
      <w:tr w:rsidR="00210729" w:rsidTr="00BB163B">
        <w:trPr>
          <w:gridAfter w:val="1"/>
          <w:wAfter w:w="1866" w:type="dxa"/>
        </w:trPr>
        <w:tc>
          <w:tcPr>
            <w:tcW w:w="730" w:type="dxa"/>
          </w:tcPr>
          <w:p w:rsidR="00210729" w:rsidRDefault="00210729" w:rsidP="00BB163B">
            <w:pPr>
              <w:pStyle w:val="NormalWeb"/>
              <w:rPr>
                <w:sz w:val="28"/>
                <w:szCs w:val="28"/>
              </w:rPr>
            </w:pPr>
          </w:p>
        </w:tc>
        <w:tc>
          <w:tcPr>
            <w:tcW w:w="1393" w:type="dxa"/>
          </w:tcPr>
          <w:p w:rsidR="00210729" w:rsidRDefault="002F4739" w:rsidP="00BB163B">
            <w:pPr>
              <w:pStyle w:val="NormalWeb"/>
              <w:rPr>
                <w:sz w:val="28"/>
                <w:szCs w:val="28"/>
              </w:rPr>
            </w:pPr>
            <w:r>
              <w:rPr>
                <w:sz w:val="28"/>
                <w:szCs w:val="28"/>
              </w:rPr>
              <w:t>Total</w:t>
            </w:r>
          </w:p>
        </w:tc>
        <w:tc>
          <w:tcPr>
            <w:tcW w:w="1678" w:type="dxa"/>
          </w:tcPr>
          <w:p w:rsidR="00210729" w:rsidRDefault="002F4739" w:rsidP="00BB163B">
            <w:pPr>
              <w:pStyle w:val="NormalWeb"/>
              <w:rPr>
                <w:sz w:val="28"/>
                <w:szCs w:val="28"/>
              </w:rPr>
            </w:pPr>
            <w:r>
              <w:rPr>
                <w:sz w:val="28"/>
                <w:szCs w:val="28"/>
              </w:rPr>
              <w:t>100</w:t>
            </w:r>
          </w:p>
        </w:tc>
        <w:tc>
          <w:tcPr>
            <w:tcW w:w="1864" w:type="dxa"/>
          </w:tcPr>
          <w:p w:rsidR="00210729" w:rsidRDefault="002F4739" w:rsidP="00BB163B">
            <w:pPr>
              <w:pStyle w:val="NormalWeb"/>
              <w:rPr>
                <w:sz w:val="28"/>
                <w:szCs w:val="28"/>
              </w:rPr>
            </w:pPr>
            <w:r>
              <w:rPr>
                <w:sz w:val="28"/>
                <w:szCs w:val="28"/>
              </w:rPr>
              <w:t>100%</w:t>
            </w:r>
          </w:p>
        </w:tc>
      </w:tr>
    </w:tbl>
    <w:p w:rsidR="00E71085" w:rsidRDefault="00BB163B">
      <w:pPr>
        <w:pStyle w:val="NormalWeb"/>
        <w:rPr>
          <w:sz w:val="28"/>
          <w:szCs w:val="28"/>
        </w:rPr>
      </w:pPr>
      <w:r>
        <w:rPr>
          <w:sz w:val="28"/>
          <w:szCs w:val="28"/>
        </w:rPr>
        <w:br w:type="textWrapping" w:clear="all"/>
      </w:r>
    </w:p>
    <w:p w:rsidR="00E71085" w:rsidRDefault="008A589C">
      <w:pPr>
        <w:pStyle w:val="NormalWeb"/>
        <w:rPr>
          <w:sz w:val="28"/>
          <w:szCs w:val="28"/>
        </w:rPr>
      </w:pPr>
      <w:r>
        <w:rPr>
          <w:sz w:val="28"/>
          <w:szCs w:val="28"/>
        </w:rPr>
        <w:t>From table 3 above, 40% of  the respondents are jss2 while 60% of the respondents are jss2. This means jss3 students have more knowledge about sex education than jss2.</w:t>
      </w:r>
    </w:p>
    <w:p w:rsidR="00E71085" w:rsidRDefault="00E71085">
      <w:pPr>
        <w:pStyle w:val="NormalWeb"/>
        <w:rPr>
          <w:sz w:val="28"/>
          <w:szCs w:val="28"/>
        </w:rPr>
      </w:pPr>
    </w:p>
    <w:p w:rsidR="00E71085" w:rsidRDefault="00A91BD4">
      <w:pPr>
        <w:pStyle w:val="Heading2"/>
        <w:rPr>
          <w:sz w:val="28"/>
          <w:szCs w:val="28"/>
        </w:rPr>
      </w:pPr>
      <w:r>
        <w:rPr>
          <w:sz w:val="28"/>
          <w:szCs w:val="28"/>
        </w:rPr>
        <w:t>4.2 Presentation of Results</w:t>
      </w:r>
    </w:p>
    <w:p w:rsidR="00E71085" w:rsidRDefault="00A91BD4">
      <w:pPr>
        <w:pStyle w:val="Heading2"/>
        <w:rPr>
          <w:sz w:val="28"/>
          <w:szCs w:val="28"/>
        </w:rPr>
      </w:pPr>
      <w:r>
        <w:rPr>
          <w:sz w:val="28"/>
          <w:szCs w:val="28"/>
        </w:rPr>
        <w:t>SECTION B</w:t>
      </w:r>
    </w:p>
    <w:tbl>
      <w:tblPr>
        <w:tblStyle w:val="TableGrid"/>
        <w:tblW w:w="9673" w:type="dxa"/>
        <w:tblLayout w:type="fixed"/>
        <w:tblLook w:val="04A0"/>
      </w:tblPr>
      <w:tblGrid>
        <w:gridCol w:w="558"/>
        <w:gridCol w:w="94"/>
        <w:gridCol w:w="4074"/>
        <w:gridCol w:w="854"/>
        <w:gridCol w:w="730"/>
        <w:gridCol w:w="730"/>
        <w:gridCol w:w="854"/>
        <w:gridCol w:w="885"/>
        <w:gridCol w:w="779"/>
        <w:gridCol w:w="90"/>
        <w:gridCol w:w="25"/>
      </w:tblGrid>
      <w:tr w:rsidR="00E71085" w:rsidTr="009B6C51">
        <w:trPr>
          <w:gridAfter w:val="2"/>
          <w:wAfter w:w="115" w:type="dxa"/>
          <w:trHeight w:val="387"/>
        </w:trPr>
        <w:tc>
          <w:tcPr>
            <w:tcW w:w="652" w:type="dxa"/>
            <w:gridSpan w:val="2"/>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4074"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Statements</w:t>
            </w:r>
          </w:p>
        </w:tc>
        <w:tc>
          <w:tcPr>
            <w:tcW w:w="854"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SA%</w:t>
            </w:r>
          </w:p>
        </w:tc>
        <w:tc>
          <w:tcPr>
            <w:tcW w:w="730"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730"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854"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SD%</w:t>
            </w:r>
          </w:p>
        </w:tc>
        <w:tc>
          <w:tcPr>
            <w:tcW w:w="885"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TA%</w:t>
            </w:r>
          </w:p>
        </w:tc>
        <w:tc>
          <w:tcPr>
            <w:tcW w:w="779" w:type="dxa"/>
            <w:hideMark/>
          </w:tcPr>
          <w:p w:rsidR="00E71085" w:rsidRDefault="00A91BD4">
            <w:pPr>
              <w:jc w:val="center"/>
              <w:rPr>
                <w:rFonts w:ascii="Times New Roman" w:hAnsi="Times New Roman" w:cs="Times New Roman"/>
                <w:b/>
                <w:bCs/>
                <w:sz w:val="28"/>
                <w:szCs w:val="28"/>
              </w:rPr>
            </w:pPr>
            <w:r>
              <w:rPr>
                <w:rFonts w:ascii="Times New Roman" w:hAnsi="Times New Roman" w:cs="Times New Roman"/>
                <w:b/>
                <w:bCs/>
                <w:sz w:val="28"/>
                <w:szCs w:val="28"/>
              </w:rPr>
              <w:t>TD%</w:t>
            </w:r>
          </w:p>
        </w:tc>
      </w:tr>
      <w:tr w:rsidR="00E71085" w:rsidTr="009B6C51">
        <w:trPr>
          <w:gridAfter w:val="2"/>
          <w:wAfter w:w="115" w:type="dxa"/>
          <w:trHeight w:val="774"/>
        </w:trPr>
        <w:tc>
          <w:tcPr>
            <w:tcW w:w="652" w:type="dxa"/>
            <w:gridSpan w:val="2"/>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w:t>
            </w:r>
          </w:p>
        </w:tc>
        <w:tc>
          <w:tcPr>
            <w:tcW w:w="407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I have heard about sex education before</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54%</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6%</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tc>
        <w:tc>
          <w:tcPr>
            <w:tcW w:w="885"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84%</w:t>
            </w:r>
          </w:p>
        </w:tc>
        <w:tc>
          <w:tcPr>
            <w:tcW w:w="779"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16%</w:t>
            </w:r>
          </w:p>
        </w:tc>
      </w:tr>
      <w:tr w:rsidR="00E71085" w:rsidTr="009B6C51">
        <w:trPr>
          <w:gridAfter w:val="2"/>
          <w:wAfter w:w="115" w:type="dxa"/>
          <w:trHeight w:val="774"/>
        </w:trPr>
        <w:tc>
          <w:tcPr>
            <w:tcW w:w="652" w:type="dxa"/>
            <w:gridSpan w:val="2"/>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w:t>
            </w:r>
          </w:p>
        </w:tc>
        <w:tc>
          <w:tcPr>
            <w:tcW w:w="407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I understand what sex education means</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41%</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33%</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21%</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5%</w:t>
            </w:r>
          </w:p>
        </w:tc>
        <w:tc>
          <w:tcPr>
            <w:tcW w:w="885"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74%</w:t>
            </w:r>
          </w:p>
        </w:tc>
        <w:tc>
          <w:tcPr>
            <w:tcW w:w="779"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26%</w:t>
            </w:r>
          </w:p>
        </w:tc>
      </w:tr>
      <w:tr w:rsidR="00E71085" w:rsidTr="009B6C51">
        <w:trPr>
          <w:gridAfter w:val="2"/>
          <w:wAfter w:w="115" w:type="dxa"/>
          <w:trHeight w:val="1161"/>
        </w:trPr>
        <w:tc>
          <w:tcPr>
            <w:tcW w:w="652" w:type="dxa"/>
            <w:gridSpan w:val="2"/>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3</w:t>
            </w:r>
          </w:p>
        </w:tc>
        <w:tc>
          <w:tcPr>
            <w:tcW w:w="407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I know that sex education teaches about human reproductive system</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57%</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21%</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12%</w:t>
            </w:r>
          </w:p>
        </w:tc>
        <w:tc>
          <w:tcPr>
            <w:tcW w:w="885"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78%</w:t>
            </w:r>
          </w:p>
        </w:tc>
        <w:tc>
          <w:tcPr>
            <w:tcW w:w="779"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22%</w:t>
            </w:r>
          </w:p>
        </w:tc>
      </w:tr>
      <w:tr w:rsidR="00E71085" w:rsidTr="0085573A">
        <w:trPr>
          <w:gridAfter w:val="2"/>
          <w:wAfter w:w="115" w:type="dxa"/>
          <w:trHeight w:val="3500"/>
        </w:trPr>
        <w:tc>
          <w:tcPr>
            <w:tcW w:w="652" w:type="dxa"/>
            <w:gridSpan w:val="2"/>
            <w:hideMark/>
          </w:tcPr>
          <w:p w:rsidR="009B6C51" w:rsidRDefault="009B6C51">
            <w:pPr>
              <w:rPr>
                <w:rFonts w:ascii="Times New Roman" w:hAnsi="Times New Roman" w:cs="Times New Roman"/>
                <w:sz w:val="28"/>
                <w:szCs w:val="28"/>
              </w:rPr>
            </w:pPr>
          </w:p>
          <w:p w:rsidR="00E71085" w:rsidRDefault="00A91BD4">
            <w:pPr>
              <w:rPr>
                <w:rFonts w:ascii="Times New Roman" w:hAnsi="Times New Roman" w:cs="Times New Roman"/>
                <w:sz w:val="28"/>
                <w:szCs w:val="28"/>
              </w:rPr>
            </w:pPr>
            <w:r>
              <w:rPr>
                <w:rFonts w:ascii="Times New Roman" w:hAnsi="Times New Roman" w:cs="Times New Roman"/>
                <w:sz w:val="28"/>
                <w:szCs w:val="28"/>
              </w:rPr>
              <w:t>4</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5</w:t>
            </w:r>
          </w:p>
        </w:tc>
        <w:tc>
          <w:tcPr>
            <w:tcW w:w="407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I am aware that sex education includes topics like abstinence and consent</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 xml:space="preserve">Sex education should only be taught in school not at home                                   </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41%</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14%</w:t>
            </w:r>
          </w:p>
          <w:p w:rsidR="009B6C51" w:rsidRDefault="009B6C51">
            <w:pPr>
              <w:rPr>
                <w:rFonts w:ascii="Times New Roman" w:hAnsi="Times New Roman" w:cs="Times New Roman"/>
                <w:sz w:val="28"/>
                <w:szCs w:val="28"/>
              </w:rPr>
            </w:pP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27%</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13%</w:t>
            </w:r>
          </w:p>
        </w:tc>
        <w:tc>
          <w:tcPr>
            <w:tcW w:w="730"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22%</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44%</w:t>
            </w:r>
          </w:p>
        </w:tc>
        <w:tc>
          <w:tcPr>
            <w:tcW w:w="854"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29%</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tc>
        <w:tc>
          <w:tcPr>
            <w:tcW w:w="885" w:type="dxa"/>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68%</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27%</w:t>
            </w:r>
          </w:p>
        </w:tc>
        <w:tc>
          <w:tcPr>
            <w:tcW w:w="779" w:type="dxa"/>
            <w:tcBorders>
              <w:right w:val="nil"/>
            </w:tcBorders>
            <w:hideMark/>
          </w:tcPr>
          <w:p w:rsidR="00E71085" w:rsidRDefault="00A91BD4">
            <w:pPr>
              <w:rPr>
                <w:rFonts w:ascii="Times New Roman" w:hAnsi="Times New Roman" w:cs="Times New Roman"/>
                <w:sz w:val="28"/>
                <w:szCs w:val="28"/>
              </w:rPr>
            </w:pPr>
            <w:r>
              <w:rPr>
                <w:rFonts w:ascii="Times New Roman" w:hAnsi="Times New Roman" w:cs="Times New Roman"/>
                <w:sz w:val="28"/>
                <w:szCs w:val="28"/>
              </w:rPr>
              <w:t>32%</w:t>
            </w: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p>
          <w:p w:rsidR="009B6C51" w:rsidRDefault="009B6C51">
            <w:pPr>
              <w:rPr>
                <w:rFonts w:ascii="Times New Roman" w:hAnsi="Times New Roman" w:cs="Times New Roman"/>
                <w:sz w:val="28"/>
                <w:szCs w:val="28"/>
              </w:rPr>
            </w:pPr>
            <w:r>
              <w:rPr>
                <w:rFonts w:ascii="Times New Roman" w:hAnsi="Times New Roman" w:cs="Times New Roman"/>
                <w:sz w:val="28"/>
                <w:szCs w:val="28"/>
              </w:rPr>
              <w:t>73%</w:t>
            </w:r>
          </w:p>
          <w:p w:rsidR="009B6C51" w:rsidRDefault="009B6C51">
            <w:pPr>
              <w:rPr>
                <w:rFonts w:ascii="Times New Roman" w:hAnsi="Times New Roman" w:cs="Times New Roman"/>
                <w:sz w:val="28"/>
                <w:szCs w:val="28"/>
              </w:rPr>
            </w:pPr>
          </w:p>
        </w:tc>
      </w:tr>
      <w:tr w:rsidR="0085573A" w:rsidTr="0085573A">
        <w:trPr>
          <w:gridAfter w:val="2"/>
          <w:wAfter w:w="115" w:type="dxa"/>
          <w:trHeight w:val="2581"/>
        </w:trPr>
        <w:tc>
          <w:tcPr>
            <w:tcW w:w="9558" w:type="dxa"/>
            <w:gridSpan w:val="9"/>
            <w:tcBorders>
              <w:left w:val="nil"/>
              <w:right w:val="nil"/>
            </w:tcBorders>
            <w:hideMark/>
          </w:tcPr>
          <w:p w:rsidR="0085573A" w:rsidRDefault="0085573A">
            <w:pPr>
              <w:rPr>
                <w:rFonts w:ascii="Times New Roman" w:hAnsi="Times New Roman" w:cs="Times New Roman"/>
                <w:sz w:val="28"/>
                <w:szCs w:val="28"/>
              </w:rPr>
            </w:pPr>
          </w:p>
        </w:tc>
      </w:tr>
      <w:tr w:rsidR="00D61E85" w:rsidTr="009B6C51">
        <w:trPr>
          <w:gridAfter w:val="2"/>
          <w:wAfter w:w="115" w:type="dxa"/>
          <w:trHeight w:val="2581"/>
        </w:trPr>
        <w:tc>
          <w:tcPr>
            <w:tcW w:w="9558" w:type="dxa"/>
            <w:gridSpan w:val="9"/>
            <w:tcBorders>
              <w:top w:val="nil"/>
              <w:left w:val="nil"/>
              <w:right w:val="nil"/>
            </w:tcBorders>
            <w:hideMark/>
          </w:tcPr>
          <w:p w:rsidR="00D61E85" w:rsidRDefault="00D61E85">
            <w:pPr>
              <w:rPr>
                <w:rFonts w:ascii="Times New Roman" w:hAnsi="Times New Roman" w:cs="Times New Roman"/>
                <w:sz w:val="28"/>
                <w:szCs w:val="28"/>
              </w:rPr>
            </w:pPr>
          </w:p>
          <w:p w:rsidR="00D61E85" w:rsidRDefault="00D61E85">
            <w:pPr>
              <w:rPr>
                <w:rFonts w:ascii="Times New Roman" w:hAnsi="Times New Roman" w:cs="Times New Roman"/>
                <w:sz w:val="28"/>
                <w:szCs w:val="28"/>
              </w:rPr>
            </w:pPr>
          </w:p>
        </w:tc>
      </w:tr>
      <w:tr w:rsidR="00E71085" w:rsidTr="009B6C51">
        <w:trPr>
          <w:gridAfter w:val="2"/>
          <w:wAfter w:w="115" w:type="dxa"/>
          <w:trHeight w:val="173"/>
        </w:trPr>
        <w:tc>
          <w:tcPr>
            <w:tcW w:w="558" w:type="dxa"/>
          </w:tcPr>
          <w:p w:rsidR="00E71085" w:rsidRDefault="009B6C51">
            <w:pPr>
              <w:rPr>
                <w:rFonts w:ascii="Times New Roman" w:hAnsi="Times New Roman" w:cs="Times New Roman"/>
                <w:sz w:val="28"/>
                <w:szCs w:val="28"/>
              </w:rPr>
            </w:pPr>
            <w:r>
              <w:rPr>
                <w:rFonts w:ascii="Times New Roman" w:hAnsi="Times New Roman" w:cs="Times New Roman"/>
                <w:sz w:val="28"/>
                <w:szCs w:val="28"/>
              </w:rPr>
              <w:t>6</w:t>
            </w:r>
          </w:p>
          <w:p w:rsidR="009B6C51" w:rsidRDefault="009B6C51">
            <w:pPr>
              <w:rPr>
                <w:rFonts w:ascii="Times New Roman" w:hAnsi="Times New Roman" w:cs="Times New Roman"/>
                <w:sz w:val="28"/>
                <w:szCs w:val="28"/>
              </w:rPr>
            </w:pPr>
          </w:p>
        </w:tc>
        <w:tc>
          <w:tcPr>
            <w:tcW w:w="4168" w:type="dxa"/>
            <w:gridSpan w:val="2"/>
          </w:tcPr>
          <w:p w:rsidR="00E71085" w:rsidRDefault="00D61E85">
            <w:pPr>
              <w:rPr>
                <w:rFonts w:ascii="Times New Roman" w:hAnsi="Times New Roman" w:cs="Times New Roman"/>
                <w:sz w:val="28"/>
                <w:szCs w:val="28"/>
              </w:rPr>
            </w:pPr>
            <w:r>
              <w:rPr>
                <w:rFonts w:ascii="Times New Roman" w:hAnsi="Times New Roman" w:cs="Times New Roman"/>
                <w:sz w:val="28"/>
                <w:szCs w:val="28"/>
              </w:rPr>
              <w:t xml:space="preserve">Sex education conflict with my religion </w:t>
            </w:r>
          </w:p>
        </w:tc>
        <w:tc>
          <w:tcPr>
            <w:tcW w:w="854"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36%</w:t>
            </w:r>
          </w:p>
        </w:tc>
        <w:tc>
          <w:tcPr>
            <w:tcW w:w="730"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22%</w:t>
            </w:r>
          </w:p>
        </w:tc>
        <w:tc>
          <w:tcPr>
            <w:tcW w:w="730"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20%</w:t>
            </w:r>
          </w:p>
        </w:tc>
        <w:tc>
          <w:tcPr>
            <w:tcW w:w="854"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22%</w:t>
            </w:r>
          </w:p>
        </w:tc>
        <w:tc>
          <w:tcPr>
            <w:tcW w:w="885"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58%</w:t>
            </w:r>
          </w:p>
        </w:tc>
        <w:tc>
          <w:tcPr>
            <w:tcW w:w="779" w:type="dxa"/>
          </w:tcPr>
          <w:p w:rsidR="00E71085" w:rsidRDefault="00D61E85">
            <w:pPr>
              <w:rPr>
                <w:rFonts w:ascii="Times New Roman" w:hAnsi="Times New Roman" w:cs="Times New Roman"/>
                <w:sz w:val="28"/>
                <w:szCs w:val="28"/>
              </w:rPr>
            </w:pPr>
            <w:r>
              <w:rPr>
                <w:rFonts w:ascii="Times New Roman" w:hAnsi="Times New Roman" w:cs="Times New Roman"/>
                <w:sz w:val="28"/>
                <w:szCs w:val="28"/>
              </w:rPr>
              <w:t>42%</w:t>
            </w:r>
          </w:p>
        </w:tc>
      </w:tr>
      <w:tr w:rsidR="00E71085" w:rsidTr="009B6C51">
        <w:trPr>
          <w:gridAfter w:val="2"/>
          <w:wAfter w:w="115" w:type="dxa"/>
          <w:trHeight w:val="173"/>
        </w:trPr>
        <w:tc>
          <w:tcPr>
            <w:tcW w:w="558" w:type="dxa"/>
          </w:tcPr>
          <w:p w:rsidR="00E71085" w:rsidRDefault="009B6C51">
            <w:pPr>
              <w:rPr>
                <w:rFonts w:ascii="Times New Roman" w:hAnsi="Times New Roman" w:cs="Times New Roman"/>
                <w:sz w:val="28"/>
                <w:szCs w:val="28"/>
              </w:rPr>
            </w:pPr>
            <w:r>
              <w:rPr>
                <w:rFonts w:ascii="Times New Roman" w:hAnsi="Times New Roman" w:cs="Times New Roman"/>
                <w:sz w:val="28"/>
                <w:szCs w:val="28"/>
              </w:rPr>
              <w:t>7</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is only meant for senior secondary students</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33%</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23%</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31%</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13%</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56%</w:t>
            </w:r>
          </w:p>
        </w:tc>
        <w:tc>
          <w:tcPr>
            <w:tcW w:w="779"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44%</w:t>
            </w:r>
          </w:p>
        </w:tc>
      </w:tr>
      <w:tr w:rsidR="00E71085" w:rsidTr="009B6C51">
        <w:trPr>
          <w:gridAfter w:val="2"/>
          <w:wAfter w:w="115" w:type="dxa"/>
          <w:trHeight w:val="173"/>
        </w:trPr>
        <w:tc>
          <w:tcPr>
            <w:tcW w:w="558" w:type="dxa"/>
          </w:tcPr>
          <w:p w:rsidR="00E71085" w:rsidRDefault="009B6C51">
            <w:pPr>
              <w:rPr>
                <w:rFonts w:ascii="Times New Roman" w:hAnsi="Times New Roman" w:cs="Times New Roman"/>
                <w:sz w:val="28"/>
                <w:szCs w:val="28"/>
              </w:rPr>
            </w:pPr>
            <w:r>
              <w:rPr>
                <w:rFonts w:ascii="Times New Roman" w:hAnsi="Times New Roman" w:cs="Times New Roman"/>
                <w:sz w:val="28"/>
                <w:szCs w:val="28"/>
              </w:rPr>
              <w:t>8</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encourages immoral behavior among students</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32%</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29%</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21%</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50%</w:t>
            </w:r>
          </w:p>
        </w:tc>
        <w:tc>
          <w:tcPr>
            <w:tcW w:w="779" w:type="dxa"/>
            <w:tcBorders>
              <w:bottom w:val="nil"/>
              <w:right w:val="nil"/>
            </w:tcBorders>
          </w:tcPr>
          <w:p w:rsidR="00E71085" w:rsidRDefault="00A91BD4">
            <w:pPr>
              <w:rPr>
                <w:rFonts w:ascii="Times New Roman" w:hAnsi="Times New Roman" w:cs="Times New Roman"/>
                <w:sz w:val="28"/>
                <w:szCs w:val="28"/>
              </w:rPr>
            </w:pPr>
            <w:r>
              <w:rPr>
                <w:rFonts w:ascii="Times New Roman" w:hAnsi="Times New Roman" w:cs="Times New Roman"/>
                <w:sz w:val="28"/>
                <w:szCs w:val="28"/>
              </w:rPr>
              <w:t>50%</w:t>
            </w:r>
          </w:p>
        </w:tc>
      </w:tr>
      <w:tr w:rsidR="00E71085" w:rsidTr="009B6C51">
        <w:trPr>
          <w:gridAfter w:val="2"/>
          <w:wAfter w:w="115" w:type="dxa"/>
          <w:trHeight w:val="173"/>
        </w:trPr>
        <w:tc>
          <w:tcPr>
            <w:tcW w:w="558" w:type="dxa"/>
          </w:tcPr>
          <w:p w:rsidR="00E71085" w:rsidRDefault="00E71085">
            <w:pPr>
              <w:rPr>
                <w:rFonts w:ascii="Times New Roman" w:hAnsi="Times New Roman" w:cs="Times New Roman"/>
                <w:sz w:val="28"/>
                <w:szCs w:val="28"/>
              </w:rPr>
            </w:pPr>
          </w:p>
        </w:tc>
        <w:tc>
          <w:tcPr>
            <w:tcW w:w="4168" w:type="dxa"/>
            <w:gridSpan w:val="2"/>
            <w:tcBorders>
              <w:top w:val="nil"/>
            </w:tcBorders>
          </w:tcPr>
          <w:p w:rsidR="00E71085" w:rsidRDefault="00E71085">
            <w:pPr>
              <w:rPr>
                <w:rFonts w:ascii="Times New Roman" w:hAnsi="Times New Roman" w:cs="Times New Roman"/>
                <w:sz w:val="28"/>
                <w:szCs w:val="28"/>
              </w:rPr>
            </w:pPr>
          </w:p>
        </w:tc>
        <w:tc>
          <w:tcPr>
            <w:tcW w:w="854" w:type="dxa"/>
            <w:tcBorders>
              <w:top w:val="nil"/>
            </w:tcBorders>
          </w:tcPr>
          <w:p w:rsidR="00E71085" w:rsidRDefault="00E71085">
            <w:pPr>
              <w:rPr>
                <w:rFonts w:ascii="Times New Roman" w:hAnsi="Times New Roman" w:cs="Times New Roman"/>
                <w:sz w:val="28"/>
                <w:szCs w:val="28"/>
              </w:rPr>
            </w:pPr>
          </w:p>
        </w:tc>
        <w:tc>
          <w:tcPr>
            <w:tcW w:w="730" w:type="dxa"/>
          </w:tcPr>
          <w:p w:rsidR="00E71085" w:rsidRDefault="00E71085">
            <w:pPr>
              <w:rPr>
                <w:rFonts w:ascii="Times New Roman" w:hAnsi="Times New Roman" w:cs="Times New Roman"/>
                <w:sz w:val="28"/>
                <w:szCs w:val="28"/>
              </w:rPr>
            </w:pPr>
          </w:p>
        </w:tc>
        <w:tc>
          <w:tcPr>
            <w:tcW w:w="730" w:type="dxa"/>
          </w:tcPr>
          <w:p w:rsidR="00E71085" w:rsidRDefault="00E71085">
            <w:pPr>
              <w:rPr>
                <w:rFonts w:ascii="Times New Roman" w:hAnsi="Times New Roman" w:cs="Times New Roman"/>
                <w:sz w:val="28"/>
                <w:szCs w:val="28"/>
              </w:rPr>
            </w:pPr>
          </w:p>
        </w:tc>
        <w:tc>
          <w:tcPr>
            <w:tcW w:w="854" w:type="dxa"/>
            <w:tcBorders>
              <w:top w:val="nil"/>
            </w:tcBorders>
          </w:tcPr>
          <w:p w:rsidR="00E71085" w:rsidRDefault="00E71085">
            <w:pPr>
              <w:rPr>
                <w:rFonts w:ascii="Times New Roman" w:hAnsi="Times New Roman" w:cs="Times New Roman"/>
                <w:sz w:val="28"/>
                <w:szCs w:val="28"/>
              </w:rPr>
            </w:pPr>
          </w:p>
        </w:tc>
        <w:tc>
          <w:tcPr>
            <w:tcW w:w="885" w:type="dxa"/>
            <w:tcBorders>
              <w:top w:val="nil"/>
            </w:tcBorders>
          </w:tcPr>
          <w:p w:rsidR="00E71085" w:rsidRDefault="00E71085">
            <w:pPr>
              <w:rPr>
                <w:rFonts w:ascii="Times New Roman" w:hAnsi="Times New Roman" w:cs="Times New Roman"/>
                <w:sz w:val="28"/>
                <w:szCs w:val="28"/>
              </w:rPr>
            </w:pPr>
          </w:p>
        </w:tc>
        <w:tc>
          <w:tcPr>
            <w:tcW w:w="779" w:type="dxa"/>
            <w:tcBorders>
              <w:top w:val="nil"/>
            </w:tcBorders>
          </w:tcPr>
          <w:p w:rsidR="00E71085" w:rsidRDefault="00E71085">
            <w:pPr>
              <w:rPr>
                <w:rFonts w:ascii="Times New Roman" w:hAnsi="Times New Roman" w:cs="Times New Roman"/>
                <w:sz w:val="28"/>
                <w:szCs w:val="28"/>
              </w:rPr>
            </w:pPr>
          </w:p>
        </w:tc>
      </w:tr>
      <w:tr w:rsidR="00E71085" w:rsidTr="009B6C51">
        <w:trPr>
          <w:gridAfter w:val="2"/>
          <w:wAfter w:w="115" w:type="dxa"/>
          <w:trHeight w:val="173"/>
        </w:trPr>
        <w:tc>
          <w:tcPr>
            <w:tcW w:w="558" w:type="dxa"/>
          </w:tcPr>
          <w:p w:rsidR="00E71085" w:rsidRDefault="009B6C51">
            <w:pPr>
              <w:rPr>
                <w:rFonts w:ascii="Times New Roman" w:hAnsi="Times New Roman" w:cs="Times New Roman"/>
                <w:sz w:val="28"/>
                <w:szCs w:val="28"/>
              </w:rPr>
            </w:pPr>
            <w:r>
              <w:rPr>
                <w:rFonts w:ascii="Times New Roman" w:hAnsi="Times New Roman" w:cs="Times New Roman"/>
                <w:sz w:val="28"/>
                <w:szCs w:val="28"/>
              </w:rPr>
              <w:t>9</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Teaching sex education will expose children to inappropriate content</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25%</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15%</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55%</w:t>
            </w:r>
          </w:p>
        </w:tc>
        <w:tc>
          <w:tcPr>
            <w:tcW w:w="779"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45%</w:t>
            </w:r>
          </w:p>
        </w:tc>
      </w:tr>
      <w:tr w:rsidR="00E71085" w:rsidTr="00D61E85">
        <w:trPr>
          <w:gridAfter w:val="1"/>
          <w:wAfter w:w="25" w:type="dxa"/>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promote promiscuity among teenagers</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28%</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19%</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23%</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58%</w:t>
            </w:r>
          </w:p>
        </w:tc>
        <w:tc>
          <w:tcPr>
            <w:tcW w:w="869"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42%</w:t>
            </w:r>
          </w:p>
        </w:tc>
      </w:tr>
      <w:tr w:rsidR="00933430" w:rsidTr="00933430">
        <w:trPr>
          <w:gridAfter w:val="1"/>
          <w:wAfter w:w="25" w:type="dxa"/>
          <w:trHeight w:val="173"/>
        </w:trPr>
        <w:tc>
          <w:tcPr>
            <w:tcW w:w="9648" w:type="dxa"/>
            <w:gridSpan w:val="10"/>
            <w:tcBorders>
              <w:left w:val="nil"/>
              <w:right w:val="nil"/>
            </w:tcBorders>
          </w:tcPr>
          <w:p w:rsidR="00933430" w:rsidRDefault="00933430">
            <w:pPr>
              <w:rPr>
                <w:rFonts w:ascii="Times New Roman" w:hAnsi="Times New Roman" w:cs="Times New Roman"/>
                <w:sz w:val="28"/>
                <w:szCs w:val="28"/>
              </w:rPr>
            </w:pP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should be encourage fir older students</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52%</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11%</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7%</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82%</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12</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I believe sex education helps prevent teenage pregnancy in girls</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57%</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15%</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72%</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28%</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13</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conflict with my religion or cultural value</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36%</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22%</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20%</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22%</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58%</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42%</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14</w:t>
            </w:r>
          </w:p>
        </w:tc>
        <w:tc>
          <w:tcPr>
            <w:tcW w:w="4168" w:type="dxa"/>
            <w:gridSpan w:val="2"/>
          </w:tcPr>
          <w:p w:rsidR="00E71085" w:rsidRDefault="00BF534B">
            <w:pPr>
              <w:rPr>
                <w:rFonts w:ascii="Times New Roman" w:hAnsi="Times New Roman" w:cs="Times New Roman"/>
                <w:sz w:val="28"/>
                <w:szCs w:val="28"/>
              </w:rPr>
            </w:pPr>
            <w:r>
              <w:rPr>
                <w:rFonts w:ascii="Times New Roman" w:hAnsi="Times New Roman" w:cs="Times New Roman"/>
                <w:sz w:val="28"/>
                <w:szCs w:val="28"/>
              </w:rPr>
              <w:t>I have learned how to prevent sexual transmitted infection in school</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58</w:t>
            </w:r>
            <w:r w:rsidR="00A91BD4">
              <w:rPr>
                <w:rFonts w:ascii="Times New Roman" w:hAnsi="Times New Roman" w:cs="Times New Roman"/>
                <w:sz w:val="28"/>
                <w:szCs w:val="28"/>
              </w:rPr>
              <w:t>%</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w:t>
            </w:r>
            <w:r w:rsidR="00BF534B">
              <w:rPr>
                <w:rFonts w:ascii="Times New Roman" w:hAnsi="Times New Roman" w:cs="Times New Roman"/>
                <w:sz w:val="28"/>
                <w:szCs w:val="28"/>
              </w:rPr>
              <w:t>1</w:t>
            </w:r>
            <w:r>
              <w:rPr>
                <w:rFonts w:ascii="Times New Roman" w:hAnsi="Times New Roman" w:cs="Times New Roman"/>
                <w:sz w:val="28"/>
                <w:szCs w:val="28"/>
              </w:rPr>
              <w:t>%</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13</w:t>
            </w:r>
            <w:r w:rsidR="00A91BD4">
              <w:rPr>
                <w:rFonts w:ascii="Times New Roman" w:hAnsi="Times New Roman" w:cs="Times New Roman"/>
                <w:sz w:val="28"/>
                <w:szCs w:val="28"/>
              </w:rPr>
              <w:t>%</w:t>
            </w:r>
          </w:p>
        </w:tc>
        <w:tc>
          <w:tcPr>
            <w:tcW w:w="885"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76</w:t>
            </w:r>
            <w:r w:rsidR="00A91BD4">
              <w:rPr>
                <w:rFonts w:ascii="Times New Roman" w:hAnsi="Times New Roman" w:cs="Times New Roman"/>
                <w:sz w:val="28"/>
                <w:szCs w:val="28"/>
              </w:rPr>
              <w:t>%</w:t>
            </w:r>
          </w:p>
        </w:tc>
        <w:tc>
          <w:tcPr>
            <w:tcW w:w="894" w:type="dxa"/>
            <w:gridSpan w:val="3"/>
          </w:tcPr>
          <w:p w:rsidR="00E71085" w:rsidRDefault="00BF534B">
            <w:pPr>
              <w:rPr>
                <w:rFonts w:ascii="Times New Roman" w:hAnsi="Times New Roman" w:cs="Times New Roman"/>
                <w:sz w:val="28"/>
                <w:szCs w:val="28"/>
              </w:rPr>
            </w:pPr>
            <w:r>
              <w:rPr>
                <w:rFonts w:ascii="Times New Roman" w:hAnsi="Times New Roman" w:cs="Times New Roman"/>
                <w:sz w:val="28"/>
                <w:szCs w:val="28"/>
              </w:rPr>
              <w:t>24</w:t>
            </w:r>
            <w:r w:rsidR="00A91BD4">
              <w:rPr>
                <w:rFonts w:ascii="Times New Roman" w:hAnsi="Times New Roman" w:cs="Times New Roman"/>
                <w:sz w:val="28"/>
                <w:szCs w:val="28"/>
              </w:rPr>
              <w:t>%</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15</w:t>
            </w:r>
          </w:p>
        </w:tc>
        <w:tc>
          <w:tcPr>
            <w:tcW w:w="4168" w:type="dxa"/>
            <w:gridSpan w:val="2"/>
          </w:tcPr>
          <w:p w:rsidR="00E71085" w:rsidRDefault="00BF534B">
            <w:pPr>
              <w:rPr>
                <w:rFonts w:ascii="Times New Roman" w:hAnsi="Times New Roman" w:cs="Times New Roman"/>
                <w:sz w:val="28"/>
                <w:szCs w:val="28"/>
              </w:rPr>
            </w:pPr>
            <w:r>
              <w:rPr>
                <w:rFonts w:ascii="Times New Roman" w:hAnsi="Times New Roman" w:cs="Times New Roman"/>
                <w:sz w:val="28"/>
                <w:szCs w:val="28"/>
              </w:rPr>
              <w:t xml:space="preserve">Sex education helps students prevent unwanted pregnancy </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64%</w:t>
            </w:r>
          </w:p>
        </w:tc>
        <w:tc>
          <w:tcPr>
            <w:tcW w:w="730"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1</w:t>
            </w:r>
            <w:r w:rsidR="00A91BD4">
              <w:rPr>
                <w:rFonts w:ascii="Times New Roman" w:hAnsi="Times New Roman" w:cs="Times New Roman"/>
                <w:sz w:val="28"/>
                <w:szCs w:val="28"/>
              </w:rPr>
              <w:t>7%</w:t>
            </w:r>
          </w:p>
        </w:tc>
        <w:tc>
          <w:tcPr>
            <w:tcW w:w="730"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8</w:t>
            </w:r>
            <w:r w:rsidR="00A91BD4">
              <w:rPr>
                <w:rFonts w:ascii="Times New Roman" w:hAnsi="Times New Roman" w:cs="Times New Roman"/>
                <w:sz w:val="28"/>
                <w:szCs w:val="28"/>
              </w:rPr>
              <w:t>%</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11</w:t>
            </w:r>
            <w:r w:rsidR="00A91BD4">
              <w:rPr>
                <w:rFonts w:ascii="Times New Roman" w:hAnsi="Times New Roman" w:cs="Times New Roman"/>
                <w:sz w:val="28"/>
                <w:szCs w:val="28"/>
              </w:rPr>
              <w:t>%</w:t>
            </w:r>
          </w:p>
        </w:tc>
        <w:tc>
          <w:tcPr>
            <w:tcW w:w="885"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81</w:t>
            </w:r>
            <w:r w:rsidR="00A91BD4">
              <w:rPr>
                <w:rFonts w:ascii="Times New Roman" w:hAnsi="Times New Roman" w:cs="Times New Roman"/>
                <w:sz w:val="28"/>
                <w:szCs w:val="28"/>
              </w:rPr>
              <w:t>%</w:t>
            </w:r>
          </w:p>
        </w:tc>
        <w:tc>
          <w:tcPr>
            <w:tcW w:w="894" w:type="dxa"/>
            <w:gridSpan w:val="3"/>
          </w:tcPr>
          <w:p w:rsidR="00E71085" w:rsidRDefault="00BF534B">
            <w:pPr>
              <w:rPr>
                <w:rFonts w:ascii="Times New Roman" w:hAnsi="Times New Roman" w:cs="Times New Roman"/>
                <w:sz w:val="28"/>
                <w:szCs w:val="28"/>
              </w:rPr>
            </w:pPr>
            <w:r>
              <w:rPr>
                <w:rFonts w:ascii="Times New Roman" w:hAnsi="Times New Roman" w:cs="Times New Roman"/>
                <w:sz w:val="28"/>
                <w:szCs w:val="28"/>
              </w:rPr>
              <w:t>19</w:t>
            </w:r>
            <w:r w:rsidR="00A91BD4">
              <w:rPr>
                <w:rFonts w:ascii="Times New Roman" w:hAnsi="Times New Roman" w:cs="Times New Roman"/>
                <w:sz w:val="28"/>
                <w:szCs w:val="28"/>
              </w:rPr>
              <w:t>%</w:t>
            </w:r>
          </w:p>
        </w:tc>
      </w:tr>
      <w:tr w:rsidR="00BF534B" w:rsidTr="00BF534B">
        <w:trPr>
          <w:trHeight w:val="173"/>
        </w:trPr>
        <w:tc>
          <w:tcPr>
            <w:tcW w:w="9673" w:type="dxa"/>
            <w:gridSpan w:val="11"/>
            <w:tcBorders>
              <w:left w:val="nil"/>
              <w:right w:val="nil"/>
            </w:tcBorders>
          </w:tcPr>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p w:rsidR="00BF534B" w:rsidRDefault="00BF534B">
            <w:pPr>
              <w:rPr>
                <w:rFonts w:ascii="Times New Roman" w:hAnsi="Times New Roman" w:cs="Times New Roman"/>
                <w:sz w:val="28"/>
                <w:szCs w:val="28"/>
              </w:rPr>
            </w:pPr>
          </w:p>
        </w:tc>
      </w:tr>
      <w:tr w:rsidR="00E71085" w:rsidTr="00BF534B">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16</w:t>
            </w:r>
          </w:p>
        </w:tc>
        <w:tc>
          <w:tcPr>
            <w:tcW w:w="4168" w:type="dxa"/>
            <w:gridSpan w:val="2"/>
          </w:tcPr>
          <w:p w:rsidR="00E71085" w:rsidRDefault="00BF534B">
            <w:pPr>
              <w:rPr>
                <w:rFonts w:ascii="Times New Roman" w:hAnsi="Times New Roman" w:cs="Times New Roman"/>
                <w:sz w:val="28"/>
                <w:szCs w:val="28"/>
              </w:rPr>
            </w:pPr>
            <w:r>
              <w:rPr>
                <w:rFonts w:ascii="Times New Roman" w:hAnsi="Times New Roman" w:cs="Times New Roman"/>
                <w:sz w:val="28"/>
                <w:szCs w:val="28"/>
              </w:rPr>
              <w:t xml:space="preserve">Both boys and girls should receive sex education </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55</w:t>
            </w:r>
            <w:r w:rsidR="00A91BD4">
              <w:rPr>
                <w:rFonts w:ascii="Times New Roman" w:hAnsi="Times New Roman" w:cs="Times New Roman"/>
                <w:sz w:val="28"/>
                <w:szCs w:val="28"/>
              </w:rPr>
              <w:t>%</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c>
          <w:tcPr>
            <w:tcW w:w="730" w:type="dxa"/>
            <w:tcBorders>
              <w:top w:val="nil"/>
            </w:tcBorders>
          </w:tcPr>
          <w:p w:rsidR="00E71085" w:rsidRDefault="00BF534B">
            <w:pPr>
              <w:rPr>
                <w:rFonts w:ascii="Times New Roman" w:hAnsi="Times New Roman" w:cs="Times New Roman"/>
                <w:sz w:val="28"/>
                <w:szCs w:val="28"/>
              </w:rPr>
            </w:pPr>
            <w:r>
              <w:rPr>
                <w:rFonts w:ascii="Times New Roman" w:hAnsi="Times New Roman" w:cs="Times New Roman"/>
                <w:sz w:val="28"/>
                <w:szCs w:val="28"/>
              </w:rPr>
              <w:t>12</w:t>
            </w:r>
            <w:r w:rsidR="00A91BD4">
              <w:rPr>
                <w:rFonts w:ascii="Times New Roman" w:hAnsi="Times New Roman" w:cs="Times New Roman"/>
                <w:sz w:val="28"/>
                <w:szCs w:val="28"/>
              </w:rPr>
              <w:t>%</w:t>
            </w:r>
          </w:p>
        </w:tc>
        <w:tc>
          <w:tcPr>
            <w:tcW w:w="854" w:type="dxa"/>
          </w:tcPr>
          <w:p w:rsidR="00E71085" w:rsidRDefault="00BF534B">
            <w:pPr>
              <w:rPr>
                <w:rFonts w:ascii="Times New Roman" w:hAnsi="Times New Roman" w:cs="Times New Roman"/>
                <w:sz w:val="28"/>
                <w:szCs w:val="28"/>
              </w:rPr>
            </w:pPr>
            <w:r>
              <w:rPr>
                <w:rFonts w:ascii="Times New Roman" w:hAnsi="Times New Roman" w:cs="Times New Roman"/>
                <w:sz w:val="28"/>
                <w:szCs w:val="28"/>
              </w:rPr>
              <w:t>15</w:t>
            </w:r>
            <w:r w:rsidR="00A91BD4">
              <w:rPr>
                <w:rFonts w:ascii="Times New Roman" w:hAnsi="Times New Roman" w:cs="Times New Roman"/>
                <w:sz w:val="28"/>
                <w:szCs w:val="28"/>
              </w:rPr>
              <w:t>%</w:t>
            </w:r>
          </w:p>
        </w:tc>
        <w:tc>
          <w:tcPr>
            <w:tcW w:w="885" w:type="dxa"/>
          </w:tcPr>
          <w:p w:rsidR="00E71085" w:rsidRDefault="00BF534B">
            <w:pPr>
              <w:spacing w:line="360" w:lineRule="auto"/>
              <w:rPr>
                <w:rFonts w:ascii="Times New Roman" w:hAnsi="Times New Roman" w:cs="Times New Roman"/>
                <w:sz w:val="28"/>
                <w:szCs w:val="28"/>
              </w:rPr>
            </w:pPr>
            <w:r>
              <w:rPr>
                <w:rFonts w:ascii="Times New Roman" w:hAnsi="Times New Roman" w:cs="Times New Roman"/>
                <w:sz w:val="28"/>
                <w:szCs w:val="28"/>
              </w:rPr>
              <w:t>73</w:t>
            </w:r>
            <w:r w:rsidR="00A91BD4">
              <w:rPr>
                <w:rFonts w:ascii="Times New Roman" w:hAnsi="Times New Roman" w:cs="Times New Roman"/>
                <w:sz w:val="28"/>
                <w:szCs w:val="28"/>
              </w:rPr>
              <w:t>%</w:t>
            </w:r>
          </w:p>
        </w:tc>
        <w:tc>
          <w:tcPr>
            <w:tcW w:w="894" w:type="dxa"/>
            <w:gridSpan w:val="3"/>
          </w:tcPr>
          <w:p w:rsidR="00E71085" w:rsidRDefault="00BF534B">
            <w:pPr>
              <w:rPr>
                <w:rFonts w:ascii="Times New Roman" w:hAnsi="Times New Roman" w:cs="Times New Roman"/>
                <w:sz w:val="28"/>
                <w:szCs w:val="28"/>
              </w:rPr>
            </w:pPr>
            <w:r>
              <w:rPr>
                <w:rFonts w:ascii="Times New Roman" w:hAnsi="Times New Roman" w:cs="Times New Roman"/>
                <w:sz w:val="28"/>
                <w:szCs w:val="28"/>
              </w:rPr>
              <w:t>27</w:t>
            </w:r>
            <w:r w:rsidR="00A91BD4">
              <w:rPr>
                <w:rFonts w:ascii="Times New Roman" w:hAnsi="Times New Roman" w:cs="Times New Roman"/>
                <w:sz w:val="28"/>
                <w:szCs w:val="28"/>
              </w:rPr>
              <w:t>%</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17</w:t>
            </w:r>
          </w:p>
        </w:tc>
        <w:tc>
          <w:tcPr>
            <w:tcW w:w="4168" w:type="dxa"/>
            <w:gridSpan w:val="2"/>
          </w:tcPr>
          <w:p w:rsidR="00E71085" w:rsidRDefault="00933430">
            <w:pPr>
              <w:rPr>
                <w:rFonts w:ascii="Times New Roman" w:hAnsi="Times New Roman" w:cs="Times New Roman"/>
                <w:sz w:val="28"/>
                <w:szCs w:val="28"/>
              </w:rPr>
            </w:pPr>
            <w:r>
              <w:rPr>
                <w:rFonts w:ascii="Times New Roman" w:hAnsi="Times New Roman" w:cs="Times New Roman"/>
                <w:sz w:val="28"/>
                <w:szCs w:val="28"/>
              </w:rPr>
              <w:t xml:space="preserve">Boys feel comfortable learning about sexual health in school than girls </w:t>
            </w:r>
          </w:p>
        </w:tc>
        <w:tc>
          <w:tcPr>
            <w:tcW w:w="854" w:type="dxa"/>
          </w:tcPr>
          <w:p w:rsidR="00E71085" w:rsidRDefault="00933430">
            <w:pPr>
              <w:rPr>
                <w:rFonts w:ascii="Times New Roman" w:hAnsi="Times New Roman" w:cs="Times New Roman"/>
                <w:sz w:val="28"/>
                <w:szCs w:val="28"/>
              </w:rPr>
            </w:pPr>
            <w:r>
              <w:rPr>
                <w:rFonts w:ascii="Times New Roman" w:hAnsi="Times New Roman" w:cs="Times New Roman"/>
                <w:sz w:val="28"/>
                <w:szCs w:val="28"/>
              </w:rPr>
              <w:t>40</w:t>
            </w:r>
            <w:r w:rsidR="00A91BD4">
              <w:rPr>
                <w:rFonts w:ascii="Times New Roman" w:hAnsi="Times New Roman" w:cs="Times New Roman"/>
                <w:sz w:val="28"/>
                <w:szCs w:val="28"/>
              </w:rPr>
              <w:t>%</w:t>
            </w:r>
          </w:p>
        </w:tc>
        <w:tc>
          <w:tcPr>
            <w:tcW w:w="730" w:type="dxa"/>
          </w:tcPr>
          <w:p w:rsidR="00E71085" w:rsidRDefault="00933430">
            <w:pPr>
              <w:rPr>
                <w:rFonts w:ascii="Times New Roman" w:hAnsi="Times New Roman" w:cs="Times New Roman"/>
                <w:sz w:val="28"/>
                <w:szCs w:val="28"/>
              </w:rPr>
            </w:pPr>
            <w:r>
              <w:rPr>
                <w:rFonts w:ascii="Times New Roman" w:hAnsi="Times New Roman" w:cs="Times New Roman"/>
                <w:sz w:val="28"/>
                <w:szCs w:val="28"/>
              </w:rPr>
              <w:t>27</w:t>
            </w:r>
            <w:r w:rsidR="00A91BD4">
              <w:rPr>
                <w:rFonts w:ascii="Times New Roman" w:hAnsi="Times New Roman" w:cs="Times New Roman"/>
                <w:sz w:val="28"/>
                <w:szCs w:val="28"/>
              </w:rPr>
              <w:t>%</w:t>
            </w:r>
          </w:p>
        </w:tc>
        <w:tc>
          <w:tcPr>
            <w:tcW w:w="730" w:type="dxa"/>
          </w:tcPr>
          <w:p w:rsidR="00E71085" w:rsidRDefault="00933430">
            <w:pPr>
              <w:rPr>
                <w:rFonts w:ascii="Times New Roman" w:hAnsi="Times New Roman" w:cs="Times New Roman"/>
                <w:sz w:val="28"/>
                <w:szCs w:val="28"/>
              </w:rPr>
            </w:pPr>
            <w:r>
              <w:rPr>
                <w:rFonts w:ascii="Times New Roman" w:hAnsi="Times New Roman" w:cs="Times New Roman"/>
                <w:sz w:val="28"/>
                <w:szCs w:val="28"/>
              </w:rPr>
              <w:t>20</w:t>
            </w:r>
            <w:r w:rsidR="00A91BD4">
              <w:rPr>
                <w:rFonts w:ascii="Times New Roman" w:hAnsi="Times New Roman" w:cs="Times New Roman"/>
                <w:sz w:val="28"/>
                <w:szCs w:val="28"/>
              </w:rPr>
              <w:t>%</w:t>
            </w:r>
          </w:p>
        </w:tc>
        <w:tc>
          <w:tcPr>
            <w:tcW w:w="854" w:type="dxa"/>
          </w:tcPr>
          <w:p w:rsidR="00E71085" w:rsidRDefault="00933430">
            <w:pPr>
              <w:rPr>
                <w:rFonts w:ascii="Times New Roman" w:hAnsi="Times New Roman" w:cs="Times New Roman"/>
                <w:sz w:val="28"/>
                <w:szCs w:val="28"/>
              </w:rPr>
            </w:pPr>
            <w:r>
              <w:rPr>
                <w:rFonts w:ascii="Times New Roman" w:hAnsi="Times New Roman" w:cs="Times New Roman"/>
                <w:sz w:val="28"/>
                <w:szCs w:val="28"/>
              </w:rPr>
              <w:t>13</w:t>
            </w:r>
            <w:r w:rsidR="00A91BD4">
              <w:rPr>
                <w:rFonts w:ascii="Times New Roman" w:hAnsi="Times New Roman" w:cs="Times New Roman"/>
                <w:sz w:val="28"/>
                <w:szCs w:val="28"/>
              </w:rPr>
              <w:t>%</w:t>
            </w:r>
          </w:p>
        </w:tc>
        <w:tc>
          <w:tcPr>
            <w:tcW w:w="885" w:type="dxa"/>
          </w:tcPr>
          <w:p w:rsidR="00E71085" w:rsidRDefault="00933430">
            <w:pPr>
              <w:rPr>
                <w:rFonts w:ascii="Times New Roman" w:hAnsi="Times New Roman" w:cs="Times New Roman"/>
                <w:sz w:val="28"/>
                <w:szCs w:val="28"/>
              </w:rPr>
            </w:pPr>
            <w:r>
              <w:rPr>
                <w:rFonts w:ascii="Times New Roman" w:hAnsi="Times New Roman" w:cs="Times New Roman"/>
                <w:sz w:val="28"/>
                <w:szCs w:val="28"/>
              </w:rPr>
              <w:t>67</w:t>
            </w:r>
            <w:r w:rsidR="00A91BD4">
              <w:rPr>
                <w:rFonts w:ascii="Times New Roman" w:hAnsi="Times New Roman" w:cs="Times New Roman"/>
                <w:sz w:val="28"/>
                <w:szCs w:val="28"/>
              </w:rPr>
              <w:t>%</w:t>
            </w:r>
          </w:p>
        </w:tc>
        <w:tc>
          <w:tcPr>
            <w:tcW w:w="894" w:type="dxa"/>
            <w:gridSpan w:val="3"/>
          </w:tcPr>
          <w:p w:rsidR="00E71085" w:rsidRDefault="00933430">
            <w:pPr>
              <w:rPr>
                <w:rFonts w:ascii="Times New Roman" w:hAnsi="Times New Roman" w:cs="Times New Roman"/>
                <w:sz w:val="28"/>
                <w:szCs w:val="28"/>
              </w:rPr>
            </w:pPr>
            <w:r>
              <w:rPr>
                <w:rFonts w:ascii="Times New Roman" w:hAnsi="Times New Roman" w:cs="Times New Roman"/>
                <w:sz w:val="28"/>
                <w:szCs w:val="28"/>
              </w:rPr>
              <w:t>33</w:t>
            </w:r>
            <w:r w:rsidR="00A91BD4">
              <w:rPr>
                <w:rFonts w:ascii="Times New Roman" w:hAnsi="Times New Roman" w:cs="Times New Roman"/>
                <w:sz w:val="28"/>
                <w:szCs w:val="28"/>
              </w:rPr>
              <w:t>%</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18</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helps students understand their bodies better</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51%</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28%</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12%</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9%</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79%</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21%</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19</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Sex education help prevent sexual abuse and exploitation</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47%</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30%</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11%</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12%</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77%</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23%</w:t>
            </w:r>
          </w:p>
        </w:tc>
      </w:tr>
      <w:tr w:rsidR="00E71085" w:rsidTr="00D61E85">
        <w:trPr>
          <w:trHeight w:val="173"/>
        </w:trPr>
        <w:tc>
          <w:tcPr>
            <w:tcW w:w="558"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20</w:t>
            </w:r>
          </w:p>
        </w:tc>
        <w:tc>
          <w:tcPr>
            <w:tcW w:w="4168" w:type="dxa"/>
            <w:gridSpan w:val="2"/>
          </w:tcPr>
          <w:p w:rsidR="00E71085" w:rsidRDefault="00A91BD4">
            <w:pPr>
              <w:rPr>
                <w:rFonts w:ascii="Times New Roman" w:hAnsi="Times New Roman" w:cs="Times New Roman"/>
                <w:sz w:val="28"/>
                <w:szCs w:val="28"/>
              </w:rPr>
            </w:pPr>
            <w:r>
              <w:rPr>
                <w:rFonts w:ascii="Times New Roman" w:hAnsi="Times New Roman" w:cs="Times New Roman"/>
                <w:sz w:val="28"/>
                <w:szCs w:val="28"/>
              </w:rPr>
              <w:t>I understand the danger of unprotected sex because of sex education</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46%</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28%</w:t>
            </w:r>
          </w:p>
        </w:tc>
        <w:tc>
          <w:tcPr>
            <w:tcW w:w="730"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16%</w:t>
            </w:r>
          </w:p>
        </w:tc>
        <w:tc>
          <w:tcPr>
            <w:tcW w:w="854"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10%</w:t>
            </w:r>
          </w:p>
        </w:tc>
        <w:tc>
          <w:tcPr>
            <w:tcW w:w="885" w:type="dxa"/>
          </w:tcPr>
          <w:p w:rsidR="00E71085" w:rsidRDefault="00A91BD4">
            <w:pPr>
              <w:rPr>
                <w:rFonts w:ascii="Times New Roman" w:hAnsi="Times New Roman" w:cs="Times New Roman"/>
                <w:sz w:val="28"/>
                <w:szCs w:val="28"/>
              </w:rPr>
            </w:pPr>
            <w:r>
              <w:rPr>
                <w:rFonts w:ascii="Times New Roman" w:hAnsi="Times New Roman" w:cs="Times New Roman"/>
                <w:sz w:val="28"/>
                <w:szCs w:val="28"/>
              </w:rPr>
              <w:t>74%</w:t>
            </w:r>
          </w:p>
        </w:tc>
        <w:tc>
          <w:tcPr>
            <w:tcW w:w="894" w:type="dxa"/>
            <w:gridSpan w:val="3"/>
          </w:tcPr>
          <w:p w:rsidR="00E71085" w:rsidRDefault="00A91BD4">
            <w:pPr>
              <w:rPr>
                <w:rFonts w:ascii="Times New Roman" w:hAnsi="Times New Roman" w:cs="Times New Roman"/>
                <w:sz w:val="28"/>
                <w:szCs w:val="28"/>
              </w:rPr>
            </w:pPr>
            <w:r>
              <w:rPr>
                <w:rFonts w:ascii="Times New Roman" w:hAnsi="Times New Roman" w:cs="Times New Roman"/>
                <w:sz w:val="28"/>
                <w:szCs w:val="28"/>
              </w:rPr>
              <w:t>26%</w:t>
            </w:r>
          </w:p>
        </w:tc>
      </w:tr>
    </w:tbl>
    <w:p w:rsidR="00E71085" w:rsidRDefault="00E71085" w:rsidP="0085573A">
      <w:pPr>
        <w:pStyle w:val="Heading2"/>
        <w:rPr>
          <w:sz w:val="28"/>
          <w:szCs w:val="28"/>
        </w:rPr>
      </w:pPr>
    </w:p>
    <w:p w:rsidR="00E71085" w:rsidRDefault="0085573A">
      <w:pPr>
        <w:pStyle w:val="Heading2"/>
        <w:rPr>
          <w:sz w:val="28"/>
          <w:szCs w:val="28"/>
        </w:rPr>
      </w:pPr>
      <w:r>
        <w:rPr>
          <w:sz w:val="28"/>
          <w:szCs w:val="28"/>
        </w:rPr>
        <w:t>4.3</w:t>
      </w:r>
      <w:r w:rsidR="00A91BD4">
        <w:rPr>
          <w:sz w:val="28"/>
          <w:szCs w:val="28"/>
        </w:rPr>
        <w:t xml:space="preserve"> Discussion of Findings</w:t>
      </w:r>
    </w:p>
    <w:p w:rsidR="00E71085" w:rsidRDefault="00A91BD4">
      <w:pPr>
        <w:pStyle w:val="NormalWeb"/>
        <w:spacing w:line="360" w:lineRule="auto"/>
        <w:jc w:val="both"/>
        <w:rPr>
          <w:sz w:val="28"/>
          <w:szCs w:val="28"/>
        </w:rPr>
      </w:pPr>
      <w:r>
        <w:rPr>
          <w:sz w:val="28"/>
          <w:szCs w:val="28"/>
        </w:rPr>
        <w:t>The findings reveal that a majority of secondary school students in Ilorin West LGA possess a moderate to good knowledge of sex education topics such as reproduction, contraception, and STIs, supporting earlier studies (Fawole 2018).</w:t>
      </w:r>
    </w:p>
    <w:p w:rsidR="00E71085" w:rsidRDefault="00A91BD4">
      <w:pPr>
        <w:pStyle w:val="NormalWeb"/>
        <w:spacing w:line="360" w:lineRule="auto"/>
        <w:jc w:val="both"/>
        <w:rPr>
          <w:sz w:val="28"/>
          <w:szCs w:val="28"/>
        </w:rPr>
      </w:pPr>
      <w:r>
        <w:rPr>
          <w:sz w:val="28"/>
          <w:szCs w:val="28"/>
        </w:rPr>
        <w:lastRenderedPageBreak/>
        <w:t>Attitudinally, there is general support for sex education in schools, with 75% of students acknowledging its importance for health. However, some resistance exists, largely related to cultural norms and beliefs about age-appropriateness of certain topics. This aligns with previous research noting cultural taboos as barriers (Afolayan, 2022).</w:t>
      </w:r>
    </w:p>
    <w:p w:rsidR="00E71085" w:rsidRDefault="00A91BD4">
      <w:pPr>
        <w:pStyle w:val="NormalWeb"/>
        <w:spacing w:line="360" w:lineRule="auto"/>
        <w:jc w:val="both"/>
        <w:rPr>
          <w:sz w:val="28"/>
          <w:szCs w:val="28"/>
        </w:rPr>
      </w:pPr>
      <w:r>
        <w:rPr>
          <w:sz w:val="28"/>
          <w:szCs w:val="28"/>
        </w:rPr>
        <w:t>The perception that parents should be primary educators highlights the role of family in adolescent sexual socialization but also indicates possible gaps in parental communication, reinforcing the need for school-based programs.</w:t>
      </w:r>
    </w:p>
    <w:p w:rsidR="00E71085" w:rsidRDefault="00A91BD4">
      <w:pPr>
        <w:pStyle w:val="NormalWeb"/>
        <w:spacing w:line="360" w:lineRule="auto"/>
        <w:jc w:val="both"/>
        <w:rPr>
          <w:sz w:val="28"/>
          <w:szCs w:val="28"/>
        </w:rPr>
      </w:pPr>
      <w:r>
        <w:rPr>
          <w:sz w:val="28"/>
          <w:szCs w:val="28"/>
        </w:rPr>
        <w:t>Barriers such as fear of judgment and lack of resources were frequently reported, indicating areas where interventions could improve the effectiveness of sex education.</w:t>
      </w:r>
    </w:p>
    <w:p w:rsidR="00E71085" w:rsidRDefault="00A91BD4">
      <w:pPr>
        <w:pStyle w:val="NormalWeb"/>
        <w:spacing w:line="360" w:lineRule="auto"/>
        <w:jc w:val="both"/>
        <w:rPr>
          <w:sz w:val="28"/>
          <w:szCs w:val="28"/>
        </w:rPr>
      </w:pPr>
      <w:r>
        <w:rPr>
          <w:sz w:val="28"/>
          <w:szCs w:val="28"/>
        </w:rPr>
        <w:t>Gender differences suggest that female students may be more receptive to sex education, which may reflect differing social expectations and exposure.</w:t>
      </w:r>
    </w:p>
    <w:p w:rsidR="00E71085" w:rsidRDefault="00E71085">
      <w:pPr>
        <w:pStyle w:val="Heading1"/>
        <w:jc w:val="center"/>
        <w:rPr>
          <w:rFonts w:ascii="Times New Roman" w:hAnsi="Times New Roman" w:cs="Times New Roman"/>
        </w:rPr>
      </w:pPr>
    </w:p>
    <w:p w:rsidR="00E71085" w:rsidRDefault="00E71085">
      <w:pPr>
        <w:pStyle w:val="Heading1"/>
        <w:jc w:val="center"/>
        <w:rPr>
          <w:rFonts w:ascii="Times New Roman" w:hAnsi="Times New Roman" w:cs="Times New Roman"/>
        </w:rPr>
      </w:pPr>
    </w:p>
    <w:p w:rsidR="00E71085" w:rsidRDefault="00E71085">
      <w:pPr>
        <w:pStyle w:val="Heading1"/>
        <w:jc w:val="center"/>
        <w:rPr>
          <w:rFonts w:ascii="Times New Roman" w:hAnsi="Times New Roman" w:cs="Times New Roman"/>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E71085">
      <w:pPr>
        <w:pStyle w:val="NormalWeb"/>
        <w:jc w:val="center"/>
        <w:rPr>
          <w:sz w:val="28"/>
          <w:szCs w:val="28"/>
        </w:rPr>
      </w:pPr>
    </w:p>
    <w:p w:rsidR="00E71085" w:rsidRDefault="00A91BD4">
      <w:pPr>
        <w:pStyle w:val="NormalWeb"/>
        <w:spacing w:line="360" w:lineRule="auto"/>
        <w:jc w:val="center"/>
        <w:rPr>
          <w:b/>
          <w:sz w:val="28"/>
          <w:szCs w:val="28"/>
        </w:rPr>
      </w:pPr>
      <w:r>
        <w:rPr>
          <w:b/>
          <w:sz w:val="28"/>
          <w:szCs w:val="28"/>
        </w:rPr>
        <w:t>CHAPTER FIVE</w:t>
      </w:r>
    </w:p>
    <w:p w:rsidR="00E71085" w:rsidRDefault="00A91BD4">
      <w:pPr>
        <w:pStyle w:val="NormalWeb"/>
        <w:spacing w:line="360" w:lineRule="auto"/>
        <w:jc w:val="center"/>
        <w:rPr>
          <w:b/>
          <w:sz w:val="28"/>
          <w:szCs w:val="28"/>
        </w:rPr>
      </w:pPr>
      <w:r>
        <w:rPr>
          <w:b/>
          <w:sz w:val="28"/>
          <w:szCs w:val="28"/>
        </w:rPr>
        <w:t>SUMMARY, CONCLUSION, AND RECOMMENDATIONS</w:t>
      </w:r>
    </w:p>
    <w:p w:rsidR="00E71085" w:rsidRDefault="00A91BD4">
      <w:pPr>
        <w:pStyle w:val="Heading2"/>
        <w:spacing w:line="360" w:lineRule="auto"/>
        <w:jc w:val="both"/>
        <w:rPr>
          <w:sz w:val="28"/>
          <w:szCs w:val="28"/>
        </w:rPr>
      </w:pPr>
      <w:r>
        <w:rPr>
          <w:sz w:val="28"/>
          <w:szCs w:val="28"/>
        </w:rPr>
        <w:t>5.1 Introduction</w:t>
      </w:r>
    </w:p>
    <w:p w:rsidR="00E71085" w:rsidRDefault="00A91BD4">
      <w:pPr>
        <w:pStyle w:val="NormalWeb"/>
        <w:spacing w:line="360" w:lineRule="auto"/>
        <w:ind w:firstLine="720"/>
        <w:jc w:val="both"/>
        <w:rPr>
          <w:sz w:val="28"/>
          <w:szCs w:val="28"/>
        </w:rPr>
      </w:pPr>
      <w:r>
        <w:rPr>
          <w:sz w:val="28"/>
          <w:szCs w:val="28"/>
        </w:rPr>
        <w:t>This chapter summarizes the key findings of the study on secondary school students’ attitudes toward sex education in Ilorin West LGA. It also draws conclusions, offers recommendations for stakeholders, and suggests areas for future research.</w:t>
      </w:r>
    </w:p>
    <w:p w:rsidR="00E71085" w:rsidRDefault="00A91BD4">
      <w:pPr>
        <w:pStyle w:val="Heading2"/>
        <w:spacing w:line="360" w:lineRule="auto"/>
        <w:jc w:val="both"/>
        <w:rPr>
          <w:sz w:val="28"/>
          <w:szCs w:val="28"/>
        </w:rPr>
      </w:pPr>
      <w:r>
        <w:rPr>
          <w:sz w:val="28"/>
          <w:szCs w:val="28"/>
        </w:rPr>
        <w:t>5.2 Summary of Findings</w:t>
      </w:r>
    </w:p>
    <w:p w:rsidR="00E71085" w:rsidRDefault="00A91BD4">
      <w:pPr>
        <w:pStyle w:val="NormalWeb"/>
        <w:numPr>
          <w:ilvl w:val="0"/>
          <w:numId w:val="27"/>
        </w:numPr>
        <w:spacing w:line="360" w:lineRule="auto"/>
        <w:jc w:val="both"/>
        <w:rPr>
          <w:sz w:val="28"/>
          <w:szCs w:val="28"/>
        </w:rPr>
      </w:pPr>
      <w:r>
        <w:rPr>
          <w:rStyle w:val="Strong"/>
          <w:sz w:val="28"/>
          <w:szCs w:val="28"/>
        </w:rPr>
        <w:t>Knowledge Levels:</w:t>
      </w:r>
      <w:r>
        <w:rPr>
          <w:sz w:val="28"/>
          <w:szCs w:val="28"/>
        </w:rPr>
        <w:t xml:space="preserve"> Most students demonstrated a fair understanding of sex education topics, though gaps remain, especially in areas like consent and sexual rights.</w:t>
      </w:r>
    </w:p>
    <w:p w:rsidR="00E71085" w:rsidRDefault="00A91BD4">
      <w:pPr>
        <w:pStyle w:val="NormalWeb"/>
        <w:numPr>
          <w:ilvl w:val="0"/>
          <w:numId w:val="27"/>
        </w:numPr>
        <w:spacing w:line="360" w:lineRule="auto"/>
        <w:jc w:val="both"/>
        <w:rPr>
          <w:sz w:val="28"/>
          <w:szCs w:val="28"/>
        </w:rPr>
      </w:pPr>
      <w:r>
        <w:rPr>
          <w:rStyle w:val="Strong"/>
          <w:sz w:val="28"/>
          <w:szCs w:val="28"/>
        </w:rPr>
        <w:t>Attitudes:</w:t>
      </w:r>
      <w:r>
        <w:rPr>
          <w:sz w:val="28"/>
          <w:szCs w:val="28"/>
        </w:rPr>
        <w:t xml:space="preserve"> A majority value sex education and support its inclusion in school curricula, though some discomfort and resistance persist, influenced by cultural and age-related concerns.</w:t>
      </w:r>
    </w:p>
    <w:p w:rsidR="00E71085" w:rsidRDefault="00A91BD4">
      <w:pPr>
        <w:pStyle w:val="NormalWeb"/>
        <w:numPr>
          <w:ilvl w:val="0"/>
          <w:numId w:val="27"/>
        </w:numPr>
        <w:spacing w:line="360" w:lineRule="auto"/>
        <w:jc w:val="both"/>
        <w:rPr>
          <w:sz w:val="28"/>
          <w:szCs w:val="28"/>
        </w:rPr>
      </w:pPr>
      <w:r>
        <w:rPr>
          <w:rStyle w:val="Strong"/>
          <w:sz w:val="28"/>
          <w:szCs w:val="28"/>
        </w:rPr>
        <w:t>Barriers:</w:t>
      </w:r>
      <w:r>
        <w:rPr>
          <w:sz w:val="28"/>
          <w:szCs w:val="28"/>
        </w:rPr>
        <w:t xml:space="preserve"> Cultural taboos, fear of judgment, and insufficient resources are significant barriers to effective sex education.</w:t>
      </w:r>
    </w:p>
    <w:p w:rsidR="00E71085" w:rsidRDefault="00A91BD4">
      <w:pPr>
        <w:pStyle w:val="NormalWeb"/>
        <w:numPr>
          <w:ilvl w:val="0"/>
          <w:numId w:val="27"/>
        </w:numPr>
        <w:spacing w:line="360" w:lineRule="auto"/>
        <w:jc w:val="both"/>
        <w:rPr>
          <w:sz w:val="28"/>
          <w:szCs w:val="28"/>
        </w:rPr>
      </w:pPr>
      <w:r>
        <w:rPr>
          <w:rStyle w:val="Strong"/>
          <w:sz w:val="28"/>
          <w:szCs w:val="28"/>
        </w:rPr>
        <w:t>Gender Differences:</w:t>
      </w:r>
      <w:r>
        <w:rPr>
          <w:sz w:val="28"/>
          <w:szCs w:val="28"/>
        </w:rPr>
        <w:t xml:space="preserve"> Female students generally hold more positive attitudes toward sex education compared to males.</w:t>
      </w:r>
    </w:p>
    <w:p w:rsidR="00E71085" w:rsidRDefault="00A91BD4">
      <w:pPr>
        <w:pStyle w:val="NormalWeb"/>
        <w:numPr>
          <w:ilvl w:val="0"/>
          <w:numId w:val="27"/>
        </w:numPr>
        <w:spacing w:line="360" w:lineRule="auto"/>
        <w:jc w:val="both"/>
        <w:rPr>
          <w:sz w:val="28"/>
          <w:szCs w:val="28"/>
        </w:rPr>
      </w:pPr>
      <w:r>
        <w:rPr>
          <w:rStyle w:val="Strong"/>
          <w:sz w:val="28"/>
          <w:szCs w:val="28"/>
        </w:rPr>
        <w:lastRenderedPageBreak/>
        <w:t>Perceptions:</w:t>
      </w:r>
      <w:r>
        <w:rPr>
          <w:sz w:val="28"/>
          <w:szCs w:val="28"/>
        </w:rPr>
        <w:t xml:space="preserve"> Students recognize benefits such as prevention of risky sexual behaviors but also identify challenges in discussing sex openly.</w:t>
      </w:r>
    </w:p>
    <w:p w:rsidR="00E71085" w:rsidRDefault="00A91BD4">
      <w:pPr>
        <w:pStyle w:val="Heading2"/>
        <w:spacing w:line="360" w:lineRule="auto"/>
        <w:jc w:val="both"/>
        <w:rPr>
          <w:sz w:val="28"/>
          <w:szCs w:val="28"/>
        </w:rPr>
      </w:pPr>
      <w:r>
        <w:rPr>
          <w:sz w:val="28"/>
          <w:szCs w:val="28"/>
        </w:rPr>
        <w:t>5.3 Conclusion</w:t>
      </w:r>
    </w:p>
    <w:p w:rsidR="00E71085" w:rsidRDefault="00A91BD4">
      <w:pPr>
        <w:pStyle w:val="NormalWeb"/>
        <w:spacing w:line="360" w:lineRule="auto"/>
        <w:jc w:val="both"/>
        <w:rPr>
          <w:sz w:val="28"/>
          <w:szCs w:val="28"/>
        </w:rPr>
      </w:pPr>
      <w:r>
        <w:rPr>
          <w:sz w:val="28"/>
          <w:szCs w:val="28"/>
        </w:rPr>
        <w:t>The study concludes that secondary school students in Ilorin West LGA are generally knowledgeable and hold mostly positive attitudes toward sex education, though cultural and resource-related barriers impede full acceptance and effectiveness. Addressing these barriers through culturally sensitive programming and stakeholder engagement is vital to improve adolescent sexual health education and outcomes.</w:t>
      </w:r>
    </w:p>
    <w:p w:rsidR="00E71085" w:rsidRDefault="00A91BD4">
      <w:pPr>
        <w:pStyle w:val="Heading2"/>
        <w:spacing w:line="360" w:lineRule="auto"/>
        <w:jc w:val="both"/>
        <w:rPr>
          <w:sz w:val="28"/>
          <w:szCs w:val="28"/>
        </w:rPr>
      </w:pPr>
      <w:r>
        <w:rPr>
          <w:sz w:val="28"/>
          <w:szCs w:val="28"/>
        </w:rPr>
        <w:t>5.4 Recommendations</w:t>
      </w:r>
    </w:p>
    <w:p w:rsidR="00E71085" w:rsidRDefault="00A91BD4">
      <w:pPr>
        <w:pStyle w:val="Heading3"/>
        <w:spacing w:line="360" w:lineRule="auto"/>
        <w:jc w:val="both"/>
        <w:rPr>
          <w:sz w:val="28"/>
          <w:szCs w:val="28"/>
        </w:rPr>
      </w:pPr>
      <w:r>
        <w:rPr>
          <w:sz w:val="28"/>
          <w:szCs w:val="28"/>
        </w:rPr>
        <w:t>5.4.1 For Policy Makers and Education Authorities</w:t>
      </w:r>
    </w:p>
    <w:p w:rsidR="00E71085" w:rsidRDefault="00A91BD4">
      <w:pPr>
        <w:pStyle w:val="NormalWeb"/>
        <w:numPr>
          <w:ilvl w:val="0"/>
          <w:numId w:val="28"/>
        </w:numPr>
        <w:spacing w:line="360" w:lineRule="auto"/>
        <w:jc w:val="both"/>
        <w:rPr>
          <w:sz w:val="28"/>
          <w:szCs w:val="28"/>
        </w:rPr>
      </w:pPr>
      <w:r>
        <w:rPr>
          <w:sz w:val="28"/>
          <w:szCs w:val="28"/>
        </w:rPr>
        <w:t>Develop and implement comprehensive, age-appropriate sex education curricula tailored to local cultural contexts.</w:t>
      </w:r>
    </w:p>
    <w:p w:rsidR="00E71085" w:rsidRDefault="00A91BD4">
      <w:pPr>
        <w:pStyle w:val="NormalWeb"/>
        <w:numPr>
          <w:ilvl w:val="0"/>
          <w:numId w:val="28"/>
        </w:numPr>
        <w:spacing w:line="360" w:lineRule="auto"/>
        <w:jc w:val="both"/>
        <w:rPr>
          <w:sz w:val="28"/>
          <w:szCs w:val="28"/>
        </w:rPr>
      </w:pPr>
      <w:r>
        <w:rPr>
          <w:sz w:val="28"/>
          <w:szCs w:val="28"/>
        </w:rPr>
        <w:t>Ensure adequate funding and resources are allocated for effective sex education delivery in schools.</w:t>
      </w:r>
    </w:p>
    <w:p w:rsidR="00E71085" w:rsidRDefault="00A91BD4">
      <w:pPr>
        <w:pStyle w:val="NormalWeb"/>
        <w:numPr>
          <w:ilvl w:val="0"/>
          <w:numId w:val="28"/>
        </w:numPr>
        <w:spacing w:line="360" w:lineRule="auto"/>
        <w:jc w:val="both"/>
        <w:rPr>
          <w:sz w:val="28"/>
          <w:szCs w:val="28"/>
        </w:rPr>
      </w:pPr>
      <w:r>
        <w:rPr>
          <w:sz w:val="28"/>
          <w:szCs w:val="28"/>
        </w:rPr>
        <w:t>Promote training programs for teachers to handle sex education topics sensitively and competently.</w:t>
      </w:r>
    </w:p>
    <w:p w:rsidR="00E71085" w:rsidRDefault="00A91BD4">
      <w:pPr>
        <w:pStyle w:val="Heading3"/>
        <w:spacing w:line="360" w:lineRule="auto"/>
        <w:jc w:val="both"/>
        <w:rPr>
          <w:sz w:val="28"/>
          <w:szCs w:val="28"/>
        </w:rPr>
      </w:pPr>
      <w:r>
        <w:rPr>
          <w:sz w:val="28"/>
          <w:szCs w:val="28"/>
        </w:rPr>
        <w:t>5.4.2 For Schools and Educators</w:t>
      </w:r>
    </w:p>
    <w:p w:rsidR="00E71085" w:rsidRDefault="00A91BD4">
      <w:pPr>
        <w:pStyle w:val="NormalWeb"/>
        <w:numPr>
          <w:ilvl w:val="0"/>
          <w:numId w:val="29"/>
        </w:numPr>
        <w:spacing w:line="360" w:lineRule="auto"/>
        <w:jc w:val="both"/>
        <w:rPr>
          <w:sz w:val="28"/>
          <w:szCs w:val="28"/>
        </w:rPr>
      </w:pPr>
      <w:r>
        <w:rPr>
          <w:sz w:val="28"/>
          <w:szCs w:val="28"/>
        </w:rPr>
        <w:t>Foster a supportive and non-judgmental classroom environment that encourages open discussion on sexual health.</w:t>
      </w:r>
    </w:p>
    <w:p w:rsidR="00E71085" w:rsidRDefault="00A91BD4">
      <w:pPr>
        <w:pStyle w:val="NormalWeb"/>
        <w:numPr>
          <w:ilvl w:val="0"/>
          <w:numId w:val="29"/>
        </w:numPr>
        <w:spacing w:line="360" w:lineRule="auto"/>
        <w:jc w:val="both"/>
        <w:rPr>
          <w:sz w:val="28"/>
          <w:szCs w:val="28"/>
        </w:rPr>
      </w:pPr>
      <w:r>
        <w:rPr>
          <w:sz w:val="28"/>
          <w:szCs w:val="28"/>
        </w:rPr>
        <w:t>Engage parents and guardians in educational workshops to bridge communication gaps between home and school.</w:t>
      </w:r>
    </w:p>
    <w:p w:rsidR="00E71085" w:rsidRDefault="00A91BD4">
      <w:pPr>
        <w:pStyle w:val="NormalWeb"/>
        <w:numPr>
          <w:ilvl w:val="0"/>
          <w:numId w:val="29"/>
        </w:numPr>
        <w:spacing w:line="360" w:lineRule="auto"/>
        <w:jc w:val="both"/>
        <w:rPr>
          <w:sz w:val="28"/>
          <w:szCs w:val="28"/>
        </w:rPr>
      </w:pPr>
      <w:r>
        <w:rPr>
          <w:sz w:val="28"/>
          <w:szCs w:val="28"/>
        </w:rPr>
        <w:lastRenderedPageBreak/>
        <w:t>Collaborate with health professionals to provide accurate and updated information.</w:t>
      </w:r>
    </w:p>
    <w:p w:rsidR="00E71085" w:rsidRDefault="00A91BD4">
      <w:pPr>
        <w:pStyle w:val="Heading3"/>
        <w:spacing w:line="360" w:lineRule="auto"/>
        <w:jc w:val="both"/>
        <w:rPr>
          <w:sz w:val="28"/>
          <w:szCs w:val="28"/>
        </w:rPr>
      </w:pPr>
      <w:r>
        <w:rPr>
          <w:sz w:val="28"/>
          <w:szCs w:val="28"/>
        </w:rPr>
        <w:t>5.4.3 For Parents and Community Leaders</w:t>
      </w:r>
    </w:p>
    <w:p w:rsidR="00E71085" w:rsidRDefault="00A91BD4">
      <w:pPr>
        <w:pStyle w:val="NormalWeb"/>
        <w:numPr>
          <w:ilvl w:val="0"/>
          <w:numId w:val="30"/>
        </w:numPr>
        <w:spacing w:line="360" w:lineRule="auto"/>
        <w:jc w:val="both"/>
        <w:rPr>
          <w:sz w:val="28"/>
          <w:szCs w:val="28"/>
        </w:rPr>
      </w:pPr>
      <w:r>
        <w:rPr>
          <w:sz w:val="28"/>
          <w:szCs w:val="28"/>
        </w:rPr>
        <w:t>Encourage open dialogue about sexual health topics within families and communities.</w:t>
      </w:r>
    </w:p>
    <w:p w:rsidR="00E71085" w:rsidRDefault="00A91BD4">
      <w:pPr>
        <w:pStyle w:val="NormalWeb"/>
        <w:numPr>
          <w:ilvl w:val="0"/>
          <w:numId w:val="30"/>
        </w:numPr>
        <w:spacing w:line="360" w:lineRule="auto"/>
        <w:jc w:val="both"/>
        <w:rPr>
          <w:sz w:val="28"/>
          <w:szCs w:val="28"/>
        </w:rPr>
      </w:pPr>
      <w:r>
        <w:rPr>
          <w:sz w:val="28"/>
          <w:szCs w:val="28"/>
        </w:rPr>
        <w:t>Challenge cultural taboos that hinder adolescents’ access to accurate information.</w:t>
      </w:r>
    </w:p>
    <w:p w:rsidR="00E71085" w:rsidRDefault="00A91BD4">
      <w:pPr>
        <w:pStyle w:val="Heading3"/>
        <w:spacing w:line="360" w:lineRule="auto"/>
        <w:jc w:val="both"/>
        <w:rPr>
          <w:sz w:val="28"/>
          <w:szCs w:val="28"/>
        </w:rPr>
      </w:pPr>
      <w:r>
        <w:rPr>
          <w:sz w:val="28"/>
          <w:szCs w:val="28"/>
        </w:rPr>
        <w:t>5.4.4 For Researchers</w:t>
      </w:r>
    </w:p>
    <w:p w:rsidR="00E71085" w:rsidRDefault="00A91BD4">
      <w:pPr>
        <w:pStyle w:val="NormalWeb"/>
        <w:numPr>
          <w:ilvl w:val="0"/>
          <w:numId w:val="31"/>
        </w:numPr>
        <w:spacing w:line="360" w:lineRule="auto"/>
        <w:jc w:val="both"/>
        <w:rPr>
          <w:sz w:val="28"/>
          <w:szCs w:val="28"/>
        </w:rPr>
      </w:pPr>
      <w:r>
        <w:rPr>
          <w:sz w:val="28"/>
          <w:szCs w:val="28"/>
        </w:rPr>
        <w:t>Conduct longitudinal studies to assess changes in attitudes and knowledge over time.</w:t>
      </w:r>
    </w:p>
    <w:p w:rsidR="00E71085" w:rsidRDefault="00A91BD4">
      <w:pPr>
        <w:pStyle w:val="NormalWeb"/>
        <w:numPr>
          <w:ilvl w:val="0"/>
          <w:numId w:val="31"/>
        </w:numPr>
        <w:spacing w:line="360" w:lineRule="auto"/>
        <w:jc w:val="both"/>
        <w:rPr>
          <w:sz w:val="28"/>
          <w:szCs w:val="28"/>
        </w:rPr>
      </w:pPr>
      <w:r>
        <w:rPr>
          <w:sz w:val="28"/>
          <w:szCs w:val="28"/>
        </w:rPr>
        <w:t>Explore the impact of different teaching methods and community involvement on sex education outcomes.</w:t>
      </w:r>
    </w:p>
    <w:p w:rsidR="00E71085" w:rsidRDefault="00A91BD4">
      <w:pPr>
        <w:pStyle w:val="Heading2"/>
        <w:spacing w:line="360" w:lineRule="auto"/>
        <w:jc w:val="both"/>
        <w:rPr>
          <w:sz w:val="28"/>
          <w:szCs w:val="28"/>
        </w:rPr>
      </w:pPr>
      <w:r>
        <w:rPr>
          <w:sz w:val="28"/>
          <w:szCs w:val="28"/>
        </w:rPr>
        <w:t>5.5 Limitations of the Study</w:t>
      </w:r>
    </w:p>
    <w:p w:rsidR="00E71085" w:rsidRDefault="00A91BD4">
      <w:pPr>
        <w:pStyle w:val="NormalWeb"/>
        <w:spacing w:line="360" w:lineRule="auto"/>
        <w:jc w:val="both"/>
        <w:rPr>
          <w:sz w:val="28"/>
          <w:szCs w:val="28"/>
        </w:rPr>
      </w:pPr>
      <w:r>
        <w:rPr>
          <w:sz w:val="28"/>
          <w:szCs w:val="28"/>
        </w:rPr>
        <w:t>This study was limited to five secondary schools in Ilorin West LGA, which may affect the generalizability of the findings to other regions. Self-reported data may also be subject to social desirability bias. Additionally, cultural sensitivities may have influenced the openness of respondents.</w:t>
      </w:r>
    </w:p>
    <w:p w:rsidR="00E71085" w:rsidRDefault="00A91BD4">
      <w:pPr>
        <w:pStyle w:val="Heading2"/>
        <w:spacing w:line="360" w:lineRule="auto"/>
        <w:jc w:val="both"/>
        <w:rPr>
          <w:sz w:val="28"/>
          <w:szCs w:val="28"/>
        </w:rPr>
      </w:pPr>
      <w:r>
        <w:rPr>
          <w:sz w:val="28"/>
          <w:szCs w:val="28"/>
        </w:rPr>
        <w:t>5.6 Suggestions for Further Research</w:t>
      </w:r>
    </w:p>
    <w:p w:rsidR="00E71085" w:rsidRDefault="00A91BD4">
      <w:pPr>
        <w:pStyle w:val="NormalWeb"/>
        <w:numPr>
          <w:ilvl w:val="0"/>
          <w:numId w:val="32"/>
        </w:numPr>
        <w:spacing w:line="360" w:lineRule="auto"/>
        <w:jc w:val="both"/>
        <w:rPr>
          <w:sz w:val="28"/>
          <w:szCs w:val="28"/>
        </w:rPr>
      </w:pPr>
      <w:r>
        <w:rPr>
          <w:sz w:val="28"/>
          <w:szCs w:val="28"/>
        </w:rPr>
        <w:t>Expand research to include private schools and other LGAs to improve generalizability.</w:t>
      </w:r>
    </w:p>
    <w:p w:rsidR="00E71085" w:rsidRDefault="00A91BD4">
      <w:pPr>
        <w:pStyle w:val="NormalWeb"/>
        <w:numPr>
          <w:ilvl w:val="0"/>
          <w:numId w:val="32"/>
        </w:numPr>
        <w:spacing w:line="360" w:lineRule="auto"/>
        <w:jc w:val="both"/>
        <w:rPr>
          <w:sz w:val="28"/>
          <w:szCs w:val="28"/>
        </w:rPr>
      </w:pPr>
      <w:r>
        <w:rPr>
          <w:sz w:val="28"/>
          <w:szCs w:val="28"/>
        </w:rPr>
        <w:t>Investigate parental attitudes and knowledge regarding sex education.</w:t>
      </w:r>
    </w:p>
    <w:p w:rsidR="00E71085" w:rsidRDefault="00A91BD4">
      <w:pPr>
        <w:pStyle w:val="NormalWeb"/>
        <w:numPr>
          <w:ilvl w:val="0"/>
          <w:numId w:val="32"/>
        </w:numPr>
        <w:spacing w:line="360" w:lineRule="auto"/>
        <w:jc w:val="both"/>
        <w:rPr>
          <w:sz w:val="28"/>
          <w:szCs w:val="28"/>
        </w:rPr>
      </w:pPr>
      <w:r>
        <w:rPr>
          <w:sz w:val="28"/>
          <w:szCs w:val="28"/>
        </w:rPr>
        <w:t>Explore the effectiveness of digital and peer-led sex education programs.</w:t>
      </w:r>
    </w:p>
    <w:p w:rsidR="00E71085" w:rsidRDefault="00A91BD4">
      <w:pPr>
        <w:pStyle w:val="Heading2"/>
        <w:spacing w:line="360" w:lineRule="auto"/>
        <w:jc w:val="both"/>
        <w:rPr>
          <w:sz w:val="28"/>
          <w:szCs w:val="28"/>
        </w:rPr>
      </w:pPr>
      <w:r>
        <w:rPr>
          <w:sz w:val="28"/>
          <w:szCs w:val="28"/>
        </w:rPr>
        <w:lastRenderedPageBreak/>
        <w:t>5.7 Conclusion</w:t>
      </w:r>
    </w:p>
    <w:p w:rsidR="00E71085" w:rsidRDefault="00A91BD4">
      <w:pPr>
        <w:pStyle w:val="NormalWeb"/>
        <w:spacing w:line="360" w:lineRule="auto"/>
        <w:jc w:val="both"/>
        <w:rPr>
          <w:sz w:val="28"/>
          <w:szCs w:val="28"/>
        </w:rPr>
      </w:pPr>
      <w:r>
        <w:rPr>
          <w:sz w:val="28"/>
          <w:szCs w:val="28"/>
        </w:rPr>
        <w:t>In conclusion, while secondary school students in Ilorin West LGA generally exhibit positive attitudes and reasonable knowledge of sex education, challenges remain that require coordinated action by educators, policymakers, families, and communities. With targeted interventions and culturally respectful approaches, sex education can be enhanced to better support adolescent health and well-being.</w:t>
      </w: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E71085">
      <w:pPr>
        <w:spacing w:after="0" w:line="240" w:lineRule="auto"/>
        <w:rPr>
          <w:rFonts w:ascii="Times New Roman" w:eastAsia="Times New Roman" w:hAnsi="Times New Roman" w:cs="Times New Roman"/>
          <w:b/>
          <w:bCs/>
          <w:sz w:val="24"/>
          <w:szCs w:val="24"/>
        </w:rPr>
      </w:pPr>
    </w:p>
    <w:p w:rsidR="00E71085" w:rsidRDefault="00E71085">
      <w:pPr>
        <w:spacing w:after="0" w:line="240" w:lineRule="auto"/>
        <w:jc w:val="center"/>
        <w:rPr>
          <w:rFonts w:ascii="Times New Roman" w:eastAsia="Times New Roman" w:hAnsi="Times New Roman" w:cs="Times New Roman"/>
          <w:b/>
          <w:bCs/>
          <w:sz w:val="24"/>
          <w:szCs w:val="24"/>
        </w:rPr>
      </w:pPr>
    </w:p>
    <w:p w:rsidR="00E71085" w:rsidRDefault="00A91BD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APPENDIX </w:t>
      </w:r>
    </w:p>
    <w:p w:rsidR="00E71085" w:rsidRDefault="00A91B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KWARA STATE COLLEGE OF EDUCATION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SCHOOL OF SCIENCES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QUESTIONNAIRE ON THE ATTITUDES OF SECONDARY SCHOOL STUDENTS TOWARD SEX EDUCATION IN ILORIN WEST LOCAL GOVERNMENT AREA, KWARA STATE</w:t>
      </w:r>
    </w:p>
    <w:p w:rsidR="00E71085" w:rsidRDefault="00A91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Dear Respondent,</w:t>
      </w:r>
    </w:p>
    <w:p w:rsidR="00E71085" w:rsidRDefault="00A91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questionnaire is designed to gather information for a research study on the </w:t>
      </w:r>
      <w:r>
        <w:rPr>
          <w:rFonts w:ascii="Times New Roman" w:eastAsia="Times New Roman" w:hAnsi="Times New Roman" w:cs="Times New Roman"/>
          <w:i/>
          <w:iCs/>
          <w:sz w:val="24"/>
          <w:szCs w:val="24"/>
        </w:rPr>
        <w:t>Attitudes of Secondary School Students toward Sex Education in Ilorin West Local Government Area</w:t>
      </w:r>
      <w:r>
        <w:rPr>
          <w:rFonts w:ascii="Times New Roman" w:eastAsia="Times New Roman" w:hAnsi="Times New Roman" w:cs="Times New Roman"/>
          <w:sz w:val="24"/>
          <w:szCs w:val="24"/>
        </w:rPr>
        <w:t>. The research is purely academic and part of the requirement for the award of the Nigerian Certificate in Education.</w:t>
      </w:r>
    </w:p>
    <w:p w:rsidR="00E71085" w:rsidRDefault="00A91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responses will be treated with utmost confidentiality. Kindly answer the questions honestly and objectively.</w:t>
      </w:r>
    </w:p>
    <w:p w:rsidR="00E71085" w:rsidRDefault="00A91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cooperation.</w:t>
      </w:r>
    </w:p>
    <w:p w:rsidR="00E71085" w:rsidRDefault="00A91BD4">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A: BIO-DATA</w:t>
      </w:r>
    </w:p>
    <w:p w:rsidR="00E71085" w:rsidRDefault="00A91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w:t>
      </w:r>
      <w:r>
        <w:rPr>
          <w:rFonts w:ascii="MS Mincho" w:eastAsia="MS Mincho" w:hAnsi="MS Mincho" w:cs="MS Mincho" w:hint="eastAsia"/>
          <w:sz w:val="24"/>
          <w:szCs w:val="24"/>
        </w:rPr>
        <w:t>✔</w:t>
      </w:r>
      <w:r>
        <w:rPr>
          <w:rFonts w:ascii="Times New Roman" w:eastAsia="Times New Roman" w:hAnsi="Times New Roman" w:cs="Times New Roman"/>
          <w:sz w:val="24"/>
          <w:szCs w:val="24"/>
        </w:rPr>
        <w:t>] or fill where applicable)</w:t>
      </w:r>
    </w:p>
    <w:p w:rsidR="00E71085" w:rsidRDefault="00A91BD4">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Name of School:</w:t>
      </w:r>
      <w:r>
        <w:rPr>
          <w:rFonts w:ascii="Times New Roman" w:eastAsia="Times New Roman" w:hAnsi="Times New Roman" w:cs="Times New Roman"/>
          <w:sz w:val="24"/>
          <w:szCs w:val="24"/>
        </w:rPr>
        <w:t xml:space="preserve"> ___________________________________________</w:t>
      </w:r>
    </w:p>
    <w:p w:rsidR="00E71085" w:rsidRDefault="00A91BD4">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sz w:val="24"/>
          <w:szCs w:val="24"/>
        </w:rPr>
        <w:t xml:space="preserve"> JSS II ( ) JSS III ( )</w:t>
      </w:r>
    </w:p>
    <w:p w:rsidR="00E71085" w:rsidRDefault="00A91BD4">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w:t>
      </w:r>
      <w:r>
        <w:rPr>
          <w:rFonts w:ascii="Times New Roman" w:eastAsia="Times New Roman" w:hAnsi="Times New Roman" w:cs="Times New Roman"/>
          <w:sz w:val="24"/>
          <w:szCs w:val="24"/>
        </w:rPr>
        <w:t xml:space="preserve"> 10–12 ( ) 13–15 ( ) 16–18 ( ) Above 18 ( )</w:t>
      </w:r>
    </w:p>
    <w:p w:rsidR="00E71085" w:rsidRDefault="00A91BD4">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Sex:</w:t>
      </w:r>
      <w:r>
        <w:rPr>
          <w:rFonts w:ascii="Times New Roman" w:eastAsia="Times New Roman" w:hAnsi="Times New Roman" w:cs="Times New Roman"/>
          <w:sz w:val="24"/>
          <w:szCs w:val="24"/>
        </w:rPr>
        <w:t xml:space="preserve"> Male ( ) Female ( )</w:t>
      </w:r>
    </w:p>
    <w:p w:rsidR="00E71085" w:rsidRDefault="00A91BD4">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B</w:t>
      </w:r>
    </w:p>
    <w:p w:rsidR="00E71085" w:rsidRDefault="00A91BD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Please tick [</w:t>
      </w:r>
      <w:r>
        <w:rPr>
          <w:rFonts w:ascii="MS Mincho" w:eastAsia="MS Mincho" w:hAnsi="MS Mincho" w:cs="MS Mincho" w:hint="eastAsia"/>
          <w:sz w:val="24"/>
          <w:szCs w:val="24"/>
        </w:rPr>
        <w:t>✔</w:t>
      </w:r>
      <w:r>
        <w:rPr>
          <w:rFonts w:ascii="Times New Roman" w:eastAsia="Times New Roman" w:hAnsi="Times New Roman" w:cs="Times New Roman"/>
          <w:sz w:val="24"/>
          <w:szCs w:val="24"/>
        </w:rPr>
        <w:t>] your level of agreement using this scale: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 – Strongly Agree</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A – Agree</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D – Disagree</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SD – Strongly Disagree</w:t>
      </w:r>
    </w:p>
    <w:tbl>
      <w:tblPr>
        <w:tblStyle w:val="TableGrid"/>
        <w:tblW w:w="9702" w:type="dxa"/>
        <w:tblLook w:val="04A0"/>
      </w:tblPr>
      <w:tblGrid>
        <w:gridCol w:w="738"/>
        <w:gridCol w:w="5935"/>
        <w:gridCol w:w="730"/>
        <w:gridCol w:w="730"/>
        <w:gridCol w:w="912"/>
        <w:gridCol w:w="657"/>
      </w:tblGrid>
      <w:tr w:rsidR="00E71085">
        <w:trPr>
          <w:trHeight w:val="157"/>
        </w:trPr>
        <w:tc>
          <w:tcPr>
            <w:tcW w:w="738" w:type="dxa"/>
          </w:tcPr>
          <w:p w:rsidR="00E71085" w:rsidRDefault="00A91BD4">
            <w:pPr>
              <w:jc w:val="both"/>
              <w:rPr>
                <w:rFonts w:ascii="Times New Roman" w:hAnsi="Times New Roman" w:cs="Times New Roman"/>
                <w:b/>
                <w:szCs w:val="28"/>
              </w:rPr>
            </w:pPr>
            <w:r>
              <w:rPr>
                <w:rFonts w:ascii="Times New Roman" w:hAnsi="Times New Roman" w:cs="Times New Roman"/>
                <w:b/>
                <w:szCs w:val="28"/>
              </w:rPr>
              <w:t>S/N</w:t>
            </w:r>
          </w:p>
        </w:tc>
        <w:tc>
          <w:tcPr>
            <w:tcW w:w="5935" w:type="dxa"/>
          </w:tcPr>
          <w:p w:rsidR="00E71085" w:rsidRDefault="00E71085">
            <w:pPr>
              <w:jc w:val="both"/>
              <w:rPr>
                <w:rFonts w:ascii="Times New Roman" w:hAnsi="Times New Roman" w:cs="Times New Roman"/>
                <w:b/>
                <w:szCs w:val="28"/>
              </w:rPr>
            </w:pPr>
          </w:p>
        </w:tc>
        <w:tc>
          <w:tcPr>
            <w:tcW w:w="730" w:type="dxa"/>
          </w:tcPr>
          <w:p w:rsidR="00E71085" w:rsidRDefault="00A91BD4">
            <w:pPr>
              <w:jc w:val="both"/>
              <w:rPr>
                <w:rFonts w:ascii="Times New Roman" w:hAnsi="Times New Roman" w:cs="Times New Roman"/>
                <w:b/>
                <w:szCs w:val="28"/>
              </w:rPr>
            </w:pPr>
            <w:r>
              <w:rPr>
                <w:rFonts w:ascii="Times New Roman" w:hAnsi="Times New Roman" w:cs="Times New Roman"/>
                <w:b/>
                <w:szCs w:val="28"/>
              </w:rPr>
              <w:t>SA</w:t>
            </w:r>
          </w:p>
        </w:tc>
        <w:tc>
          <w:tcPr>
            <w:tcW w:w="730" w:type="dxa"/>
          </w:tcPr>
          <w:p w:rsidR="00E71085" w:rsidRDefault="00A91BD4">
            <w:pPr>
              <w:jc w:val="both"/>
              <w:rPr>
                <w:rFonts w:ascii="Times New Roman" w:hAnsi="Times New Roman" w:cs="Times New Roman"/>
                <w:b/>
                <w:szCs w:val="28"/>
              </w:rPr>
            </w:pPr>
            <w:r>
              <w:rPr>
                <w:rFonts w:ascii="Times New Roman" w:hAnsi="Times New Roman" w:cs="Times New Roman"/>
                <w:b/>
                <w:szCs w:val="28"/>
              </w:rPr>
              <w:t>A</w:t>
            </w:r>
          </w:p>
        </w:tc>
        <w:tc>
          <w:tcPr>
            <w:tcW w:w="912" w:type="dxa"/>
          </w:tcPr>
          <w:p w:rsidR="00E71085" w:rsidRDefault="00A91BD4">
            <w:pPr>
              <w:jc w:val="both"/>
              <w:rPr>
                <w:rFonts w:ascii="Times New Roman" w:hAnsi="Times New Roman" w:cs="Times New Roman"/>
                <w:b/>
                <w:szCs w:val="28"/>
              </w:rPr>
            </w:pPr>
            <w:r>
              <w:rPr>
                <w:rFonts w:ascii="Times New Roman" w:hAnsi="Times New Roman" w:cs="Times New Roman"/>
                <w:b/>
                <w:szCs w:val="28"/>
              </w:rPr>
              <w:t>D</w:t>
            </w:r>
          </w:p>
        </w:tc>
        <w:tc>
          <w:tcPr>
            <w:tcW w:w="657" w:type="dxa"/>
          </w:tcPr>
          <w:p w:rsidR="00E71085" w:rsidRDefault="00A91BD4">
            <w:pPr>
              <w:jc w:val="both"/>
              <w:rPr>
                <w:rFonts w:ascii="Times New Roman" w:hAnsi="Times New Roman" w:cs="Times New Roman"/>
                <w:b/>
                <w:szCs w:val="28"/>
              </w:rPr>
            </w:pPr>
            <w:r>
              <w:rPr>
                <w:rFonts w:ascii="Times New Roman" w:hAnsi="Times New Roman" w:cs="Times New Roman"/>
                <w:b/>
                <w:szCs w:val="28"/>
              </w:rPr>
              <w:t>SD</w:t>
            </w: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w:t>
            </w:r>
          </w:p>
        </w:tc>
        <w:tc>
          <w:tcPr>
            <w:tcW w:w="5935" w:type="dxa"/>
          </w:tcPr>
          <w:p w:rsidR="00E71085" w:rsidRDefault="00A91BD4">
            <w:pPr>
              <w:pStyle w:val="NormalWeb"/>
              <w:spacing w:before="0" w:beforeAutospacing="0" w:after="0" w:afterAutospacing="0"/>
              <w:jc w:val="both"/>
            </w:pPr>
            <w:r>
              <w:t>I have heard about sex education before</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2</w:t>
            </w:r>
          </w:p>
        </w:tc>
        <w:tc>
          <w:tcPr>
            <w:tcW w:w="5935" w:type="dxa"/>
          </w:tcPr>
          <w:p w:rsidR="00E71085" w:rsidRDefault="00A91BD4">
            <w:pPr>
              <w:pStyle w:val="NormalWeb"/>
              <w:spacing w:before="0" w:beforeAutospacing="0" w:after="0" w:afterAutospacing="0"/>
              <w:jc w:val="both"/>
            </w:pPr>
            <w:r>
              <w:t>I understand what sex education means</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3</w:t>
            </w:r>
          </w:p>
        </w:tc>
        <w:tc>
          <w:tcPr>
            <w:tcW w:w="5935" w:type="dxa"/>
          </w:tcPr>
          <w:p w:rsidR="00E71085" w:rsidRDefault="00A91BD4">
            <w:pPr>
              <w:pStyle w:val="NormalWeb"/>
              <w:spacing w:before="0" w:beforeAutospacing="0" w:after="0" w:afterAutospacing="0"/>
              <w:jc w:val="both"/>
            </w:pPr>
            <w:r>
              <w:t>I know that sex education teaches about human reproductive system.</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4</w:t>
            </w:r>
          </w:p>
        </w:tc>
        <w:tc>
          <w:tcPr>
            <w:tcW w:w="5935" w:type="dxa"/>
          </w:tcPr>
          <w:p w:rsidR="00E71085" w:rsidRDefault="00A91BD4">
            <w:pPr>
              <w:pStyle w:val="NormalWeb"/>
              <w:spacing w:before="0" w:beforeAutospacing="0" w:after="0" w:afterAutospacing="0"/>
              <w:jc w:val="both"/>
            </w:pPr>
            <w:r>
              <w:t>I am aware that sex education includes topics like abstinence and consent.</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5</w:t>
            </w:r>
          </w:p>
        </w:tc>
        <w:tc>
          <w:tcPr>
            <w:tcW w:w="5935" w:type="dxa"/>
          </w:tcPr>
          <w:p w:rsidR="00E71085" w:rsidRDefault="00A91BD4">
            <w:pPr>
              <w:pStyle w:val="NormalWeb"/>
              <w:spacing w:before="0" w:beforeAutospacing="0" w:after="0" w:afterAutospacing="0"/>
              <w:jc w:val="both"/>
            </w:pPr>
            <w:r>
              <w:t>I have received lessons on sex education in school.</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15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6</w:t>
            </w:r>
          </w:p>
        </w:tc>
        <w:tc>
          <w:tcPr>
            <w:tcW w:w="5935" w:type="dxa"/>
          </w:tcPr>
          <w:p w:rsidR="00E71085" w:rsidRDefault="00A91BD4">
            <w:pPr>
              <w:pStyle w:val="NormalWeb"/>
              <w:spacing w:before="0" w:beforeAutospacing="0" w:after="0" w:afterAutospacing="0"/>
              <w:jc w:val="both"/>
            </w:pPr>
            <w:r>
              <w:t>Sex education is only meant for senior secondary students.</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0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7</w:t>
            </w:r>
          </w:p>
        </w:tc>
        <w:tc>
          <w:tcPr>
            <w:tcW w:w="5935" w:type="dxa"/>
          </w:tcPr>
          <w:p w:rsidR="00E71085" w:rsidRDefault="00A91BD4">
            <w:pPr>
              <w:pStyle w:val="NormalWeb"/>
              <w:spacing w:before="0" w:beforeAutospacing="0" w:after="0" w:afterAutospacing="0"/>
              <w:jc w:val="both"/>
            </w:pPr>
            <w:r>
              <w:t>Sex education encourages immoral behavior among students.</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0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8</w:t>
            </w:r>
          </w:p>
        </w:tc>
        <w:tc>
          <w:tcPr>
            <w:tcW w:w="5935" w:type="dxa"/>
          </w:tcPr>
          <w:p w:rsidR="00E71085" w:rsidRDefault="00A91BD4">
            <w:pPr>
              <w:pStyle w:val="NormalWeb"/>
              <w:rPr>
                <w:b/>
              </w:rPr>
            </w:pPr>
            <w:r>
              <w:rPr>
                <w:rStyle w:val="Strong"/>
                <w:b w:val="0"/>
              </w:rPr>
              <w:t>Sex education should only be taught at home, not in schools.</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0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5935" w:type="dxa"/>
          </w:tcPr>
          <w:p w:rsidR="00E71085" w:rsidRDefault="00A91BD4">
            <w:pPr>
              <w:pStyle w:val="NormalWeb"/>
              <w:rPr>
                <w:b/>
              </w:rPr>
            </w:pPr>
            <w:r>
              <w:rPr>
                <w:rStyle w:val="Strong"/>
                <w:b w:val="0"/>
              </w:rPr>
              <w:t>Teaching sex education will expose children to inappropriate content.</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00"/>
        </w:trPr>
        <w:tc>
          <w:tcPr>
            <w:tcW w:w="738" w:type="dxa"/>
          </w:tcPr>
          <w:p w:rsidR="00E71085" w:rsidRDefault="00A91BD4">
            <w:pPr>
              <w:jc w:val="both"/>
              <w:rPr>
                <w:rFonts w:ascii="Times New Roman" w:hAnsi="Times New Roman" w:cs="Times New Roman"/>
                <w:szCs w:val="28"/>
              </w:rPr>
            </w:pPr>
            <w:r>
              <w:rPr>
                <w:rFonts w:ascii="Times New Roman" w:hAnsi="Times New Roman" w:cs="Times New Roman"/>
                <w:szCs w:val="28"/>
              </w:rPr>
              <w:t>10</w:t>
            </w:r>
          </w:p>
        </w:tc>
        <w:tc>
          <w:tcPr>
            <w:tcW w:w="5935" w:type="dxa"/>
          </w:tcPr>
          <w:p w:rsidR="00E71085" w:rsidRDefault="00A91BD4">
            <w:pPr>
              <w:pStyle w:val="NormalWeb"/>
              <w:rPr>
                <w:b/>
              </w:rPr>
            </w:pPr>
            <w:r>
              <w:rPr>
                <w:rStyle w:val="Strong"/>
                <w:b w:val="0"/>
              </w:rPr>
              <w:t>Sex education promotes promiscuity among teenagers.</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476"/>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11</w:t>
            </w:r>
          </w:p>
        </w:tc>
        <w:tc>
          <w:tcPr>
            <w:tcW w:w="5935" w:type="dxa"/>
          </w:tcPr>
          <w:p w:rsidR="00E71085" w:rsidRDefault="00A91BD4">
            <w:pPr>
              <w:pStyle w:val="NormalWeb"/>
            </w:pPr>
            <w:r>
              <w:rPr>
                <w:rStyle w:val="Emphasis"/>
                <w:i w:val="0"/>
              </w:rPr>
              <w:t>Sex education should be encourage for older students</w:t>
            </w:r>
          </w:p>
        </w:tc>
        <w:tc>
          <w:tcPr>
            <w:tcW w:w="730" w:type="dxa"/>
          </w:tcPr>
          <w:p w:rsidR="00E71085" w:rsidRDefault="00E71085">
            <w:pPr>
              <w:jc w:val="both"/>
              <w:rPr>
                <w:rFonts w:ascii="Times New Roman" w:hAnsi="Times New Roman" w:cs="Times New Roman"/>
                <w:sz w:val="28"/>
                <w:szCs w:val="28"/>
              </w:rPr>
            </w:pPr>
          </w:p>
        </w:tc>
        <w:tc>
          <w:tcPr>
            <w:tcW w:w="730" w:type="dxa"/>
          </w:tcPr>
          <w:p w:rsidR="00E71085" w:rsidRDefault="00E71085">
            <w:pPr>
              <w:jc w:val="both"/>
              <w:rPr>
                <w:rFonts w:ascii="Times New Roman" w:hAnsi="Times New Roman" w:cs="Times New Roman"/>
                <w:sz w:val="28"/>
                <w:szCs w:val="28"/>
              </w:rPr>
            </w:pPr>
          </w:p>
        </w:tc>
        <w:tc>
          <w:tcPr>
            <w:tcW w:w="912" w:type="dxa"/>
          </w:tcPr>
          <w:p w:rsidR="00E71085" w:rsidRDefault="00E71085">
            <w:pPr>
              <w:jc w:val="both"/>
              <w:rPr>
                <w:rFonts w:ascii="Times New Roman" w:hAnsi="Times New Roman" w:cs="Times New Roman"/>
                <w:sz w:val="28"/>
                <w:szCs w:val="28"/>
              </w:rPr>
            </w:pPr>
          </w:p>
        </w:tc>
        <w:tc>
          <w:tcPr>
            <w:tcW w:w="657" w:type="dxa"/>
          </w:tcPr>
          <w:p w:rsidR="00E71085" w:rsidRDefault="00E71085">
            <w:pPr>
              <w:jc w:val="both"/>
              <w:rPr>
                <w:rFonts w:ascii="Times New Roman" w:hAnsi="Times New Roman" w:cs="Times New Roman"/>
                <w:sz w:val="28"/>
                <w:szCs w:val="28"/>
              </w:rPr>
            </w:pPr>
          </w:p>
        </w:tc>
      </w:tr>
      <w:tr w:rsidR="00E71085">
        <w:trPr>
          <w:trHeight w:val="56"/>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12</w:t>
            </w:r>
          </w:p>
        </w:tc>
        <w:tc>
          <w:tcPr>
            <w:tcW w:w="5935" w:type="dxa"/>
          </w:tcPr>
          <w:p w:rsidR="00E71085" w:rsidRDefault="00A91BD4">
            <w:pPr>
              <w:pStyle w:val="NormalWeb"/>
              <w:rPr>
                <w:i/>
              </w:rPr>
            </w:pPr>
            <w:r>
              <w:rPr>
                <w:rStyle w:val="Emphasis"/>
                <w:i w:val="0"/>
              </w:rPr>
              <w:t>I believe sex education helps prevent teenage pregnancy in girls.</w:t>
            </w:r>
          </w:p>
        </w:tc>
        <w:tc>
          <w:tcPr>
            <w:tcW w:w="730" w:type="dxa"/>
          </w:tcPr>
          <w:p w:rsidR="00E71085" w:rsidRDefault="00E71085">
            <w:pPr>
              <w:jc w:val="both"/>
              <w:rPr>
                <w:rFonts w:ascii="Times New Roman" w:hAnsi="Times New Roman" w:cs="Times New Roman"/>
                <w:sz w:val="28"/>
                <w:szCs w:val="28"/>
              </w:rPr>
            </w:pPr>
          </w:p>
        </w:tc>
        <w:tc>
          <w:tcPr>
            <w:tcW w:w="730" w:type="dxa"/>
          </w:tcPr>
          <w:p w:rsidR="00E71085" w:rsidRDefault="00E71085">
            <w:pPr>
              <w:jc w:val="both"/>
              <w:rPr>
                <w:rFonts w:ascii="Times New Roman" w:hAnsi="Times New Roman" w:cs="Times New Roman"/>
                <w:sz w:val="28"/>
                <w:szCs w:val="28"/>
              </w:rPr>
            </w:pPr>
          </w:p>
        </w:tc>
        <w:tc>
          <w:tcPr>
            <w:tcW w:w="912" w:type="dxa"/>
          </w:tcPr>
          <w:p w:rsidR="00E71085" w:rsidRDefault="00E71085">
            <w:pPr>
              <w:jc w:val="both"/>
              <w:rPr>
                <w:rFonts w:ascii="Times New Roman" w:hAnsi="Times New Roman" w:cs="Times New Roman"/>
                <w:sz w:val="28"/>
                <w:szCs w:val="28"/>
              </w:rPr>
            </w:pPr>
          </w:p>
        </w:tc>
        <w:tc>
          <w:tcPr>
            <w:tcW w:w="657" w:type="dxa"/>
          </w:tcPr>
          <w:p w:rsidR="00E71085" w:rsidRDefault="00E71085">
            <w:pPr>
              <w:jc w:val="both"/>
              <w:rPr>
                <w:rFonts w:ascii="Times New Roman" w:hAnsi="Times New Roman" w:cs="Times New Roman"/>
                <w:sz w:val="28"/>
                <w:szCs w:val="28"/>
              </w:rPr>
            </w:pPr>
          </w:p>
        </w:tc>
      </w:tr>
      <w:tr w:rsidR="00E71085">
        <w:trPr>
          <w:trHeight w:val="53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13</w:t>
            </w:r>
          </w:p>
        </w:tc>
        <w:tc>
          <w:tcPr>
            <w:tcW w:w="5935" w:type="dxa"/>
          </w:tcPr>
          <w:p w:rsidR="00E71085" w:rsidRDefault="00A91BD4">
            <w:pPr>
              <w:pStyle w:val="NormalWeb"/>
              <w:rPr>
                <w:i/>
              </w:rPr>
            </w:pPr>
            <w:r>
              <w:rPr>
                <w:rStyle w:val="Emphasis"/>
                <w:i w:val="0"/>
              </w:rPr>
              <w:t>Sex education conflicts with my religious or cultural values.</w:t>
            </w:r>
          </w:p>
        </w:tc>
        <w:tc>
          <w:tcPr>
            <w:tcW w:w="730" w:type="dxa"/>
          </w:tcPr>
          <w:p w:rsidR="00E71085" w:rsidRDefault="00E71085">
            <w:pPr>
              <w:jc w:val="both"/>
              <w:rPr>
                <w:rFonts w:ascii="Times New Roman" w:hAnsi="Times New Roman" w:cs="Times New Roman"/>
                <w:sz w:val="28"/>
                <w:szCs w:val="28"/>
              </w:rPr>
            </w:pPr>
          </w:p>
        </w:tc>
        <w:tc>
          <w:tcPr>
            <w:tcW w:w="730" w:type="dxa"/>
          </w:tcPr>
          <w:p w:rsidR="00E71085" w:rsidRDefault="00E71085">
            <w:pPr>
              <w:jc w:val="both"/>
              <w:rPr>
                <w:rFonts w:ascii="Times New Roman" w:hAnsi="Times New Roman" w:cs="Times New Roman"/>
                <w:sz w:val="28"/>
                <w:szCs w:val="28"/>
              </w:rPr>
            </w:pPr>
          </w:p>
        </w:tc>
        <w:tc>
          <w:tcPr>
            <w:tcW w:w="912" w:type="dxa"/>
          </w:tcPr>
          <w:p w:rsidR="00E71085" w:rsidRDefault="00E71085">
            <w:pPr>
              <w:jc w:val="both"/>
              <w:rPr>
                <w:rFonts w:ascii="Times New Roman" w:hAnsi="Times New Roman" w:cs="Times New Roman"/>
                <w:sz w:val="28"/>
                <w:szCs w:val="28"/>
              </w:rPr>
            </w:pPr>
          </w:p>
        </w:tc>
        <w:tc>
          <w:tcPr>
            <w:tcW w:w="657" w:type="dxa"/>
          </w:tcPr>
          <w:p w:rsidR="00E71085" w:rsidRDefault="00E71085">
            <w:pPr>
              <w:jc w:val="both"/>
              <w:rPr>
                <w:rFonts w:ascii="Times New Roman" w:hAnsi="Times New Roman" w:cs="Times New Roman"/>
                <w:sz w:val="28"/>
                <w:szCs w:val="28"/>
              </w:rPr>
            </w:pPr>
          </w:p>
        </w:tc>
      </w:tr>
      <w:tr w:rsidR="00E71085">
        <w:trPr>
          <w:trHeight w:val="332"/>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14</w:t>
            </w:r>
          </w:p>
        </w:tc>
        <w:tc>
          <w:tcPr>
            <w:tcW w:w="5935" w:type="dxa"/>
          </w:tcPr>
          <w:p w:rsidR="00E71085" w:rsidRDefault="00A91BD4">
            <w:pPr>
              <w:pStyle w:val="NormalWeb"/>
              <w:rPr>
                <w:i/>
              </w:rPr>
            </w:pPr>
            <w:r>
              <w:rPr>
                <w:rStyle w:val="Emphasis"/>
                <w:i w:val="0"/>
              </w:rPr>
              <w:t>Both boys and girls should receive sex education.</w:t>
            </w:r>
          </w:p>
        </w:tc>
        <w:tc>
          <w:tcPr>
            <w:tcW w:w="730" w:type="dxa"/>
          </w:tcPr>
          <w:p w:rsidR="00E71085" w:rsidRDefault="00E71085">
            <w:pPr>
              <w:jc w:val="both"/>
              <w:rPr>
                <w:rFonts w:ascii="Times New Roman" w:hAnsi="Times New Roman" w:cs="Times New Roman"/>
                <w:sz w:val="28"/>
                <w:szCs w:val="28"/>
              </w:rPr>
            </w:pPr>
          </w:p>
        </w:tc>
        <w:tc>
          <w:tcPr>
            <w:tcW w:w="730" w:type="dxa"/>
          </w:tcPr>
          <w:p w:rsidR="00E71085" w:rsidRDefault="00E71085">
            <w:pPr>
              <w:jc w:val="both"/>
              <w:rPr>
                <w:rFonts w:ascii="Times New Roman" w:hAnsi="Times New Roman" w:cs="Times New Roman"/>
                <w:sz w:val="28"/>
                <w:szCs w:val="28"/>
              </w:rPr>
            </w:pPr>
          </w:p>
        </w:tc>
        <w:tc>
          <w:tcPr>
            <w:tcW w:w="912" w:type="dxa"/>
          </w:tcPr>
          <w:p w:rsidR="00E71085" w:rsidRDefault="00E71085">
            <w:pPr>
              <w:jc w:val="both"/>
              <w:rPr>
                <w:rFonts w:ascii="Times New Roman" w:hAnsi="Times New Roman" w:cs="Times New Roman"/>
                <w:sz w:val="28"/>
                <w:szCs w:val="28"/>
              </w:rPr>
            </w:pPr>
          </w:p>
        </w:tc>
        <w:tc>
          <w:tcPr>
            <w:tcW w:w="657" w:type="dxa"/>
          </w:tcPr>
          <w:p w:rsidR="00E71085" w:rsidRDefault="00E71085">
            <w:pPr>
              <w:jc w:val="both"/>
              <w:rPr>
                <w:rFonts w:ascii="Times New Roman" w:hAnsi="Times New Roman" w:cs="Times New Roman"/>
                <w:sz w:val="28"/>
                <w:szCs w:val="28"/>
              </w:rPr>
            </w:pPr>
          </w:p>
        </w:tc>
      </w:tr>
      <w:tr w:rsidR="00E71085">
        <w:trPr>
          <w:trHeight w:val="53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15</w:t>
            </w:r>
          </w:p>
          <w:p w:rsidR="00E71085" w:rsidRDefault="00E71085">
            <w:pPr>
              <w:jc w:val="both"/>
              <w:rPr>
                <w:rFonts w:ascii="Times New Roman" w:hAnsi="Times New Roman" w:cs="Times New Roman"/>
                <w:sz w:val="24"/>
                <w:szCs w:val="24"/>
              </w:rPr>
            </w:pPr>
          </w:p>
          <w:p w:rsidR="00E71085" w:rsidRDefault="00E71085">
            <w:pPr>
              <w:jc w:val="both"/>
              <w:rPr>
                <w:rFonts w:ascii="Times New Roman" w:hAnsi="Times New Roman" w:cs="Times New Roman"/>
                <w:sz w:val="24"/>
                <w:szCs w:val="24"/>
              </w:rPr>
            </w:pPr>
          </w:p>
        </w:tc>
        <w:tc>
          <w:tcPr>
            <w:tcW w:w="5935" w:type="dxa"/>
          </w:tcPr>
          <w:p w:rsidR="00E71085" w:rsidRDefault="00A91BD4">
            <w:pPr>
              <w:pStyle w:val="NormalWeb"/>
              <w:rPr>
                <w:i/>
              </w:rPr>
            </w:pPr>
            <w:r>
              <w:t>Boys</w:t>
            </w:r>
            <w:r>
              <w:rPr>
                <w:rStyle w:val="Emphasis"/>
                <w:i w:val="0"/>
              </w:rPr>
              <w:t xml:space="preserve">feel comfortable learning about sexual health in school than girls. </w:t>
            </w:r>
          </w:p>
        </w:tc>
        <w:tc>
          <w:tcPr>
            <w:tcW w:w="730" w:type="dxa"/>
          </w:tcPr>
          <w:p w:rsidR="00E71085" w:rsidRDefault="00E71085">
            <w:pPr>
              <w:jc w:val="both"/>
              <w:rPr>
                <w:rFonts w:ascii="Times New Roman" w:hAnsi="Times New Roman" w:cs="Times New Roman"/>
                <w:sz w:val="28"/>
                <w:szCs w:val="28"/>
              </w:rPr>
            </w:pPr>
          </w:p>
        </w:tc>
        <w:tc>
          <w:tcPr>
            <w:tcW w:w="730" w:type="dxa"/>
          </w:tcPr>
          <w:p w:rsidR="00E71085" w:rsidRDefault="00E71085">
            <w:pPr>
              <w:jc w:val="both"/>
              <w:rPr>
                <w:rFonts w:ascii="Times New Roman" w:hAnsi="Times New Roman" w:cs="Times New Roman"/>
                <w:sz w:val="28"/>
                <w:szCs w:val="28"/>
              </w:rPr>
            </w:pPr>
          </w:p>
        </w:tc>
        <w:tc>
          <w:tcPr>
            <w:tcW w:w="912" w:type="dxa"/>
          </w:tcPr>
          <w:p w:rsidR="00E71085" w:rsidRDefault="00E71085">
            <w:pPr>
              <w:jc w:val="both"/>
              <w:rPr>
                <w:rFonts w:ascii="Times New Roman" w:hAnsi="Times New Roman" w:cs="Times New Roman"/>
                <w:sz w:val="28"/>
                <w:szCs w:val="28"/>
              </w:rPr>
            </w:pPr>
          </w:p>
        </w:tc>
        <w:tc>
          <w:tcPr>
            <w:tcW w:w="657" w:type="dxa"/>
          </w:tcPr>
          <w:p w:rsidR="00E71085" w:rsidRDefault="00E71085">
            <w:pPr>
              <w:jc w:val="both"/>
              <w:rPr>
                <w:rFonts w:ascii="Times New Roman" w:hAnsi="Times New Roman" w:cs="Times New Roman"/>
                <w:sz w:val="28"/>
                <w:szCs w:val="28"/>
              </w:rPr>
            </w:pPr>
          </w:p>
        </w:tc>
      </w:tr>
      <w:tr w:rsidR="00E71085">
        <w:trPr>
          <w:trHeight w:val="82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16</w:t>
            </w:r>
          </w:p>
        </w:tc>
        <w:tc>
          <w:tcPr>
            <w:tcW w:w="5935" w:type="dxa"/>
          </w:tcPr>
          <w:p w:rsidR="00E71085" w:rsidRDefault="00A91BD4">
            <w:pPr>
              <w:pStyle w:val="NormalWeb"/>
              <w:spacing w:before="0" w:beforeAutospacing="0" w:after="0" w:afterAutospacing="0"/>
              <w:jc w:val="both"/>
            </w:pPr>
            <w:r>
              <w:t xml:space="preserve">I have learned how to prevent sexually transmitted infections in school. </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827"/>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17</w:t>
            </w:r>
          </w:p>
        </w:tc>
        <w:tc>
          <w:tcPr>
            <w:tcW w:w="5935" w:type="dxa"/>
          </w:tcPr>
          <w:p w:rsidR="00E71085" w:rsidRDefault="00A91BD4">
            <w:pPr>
              <w:pStyle w:val="NormalWeb"/>
              <w:spacing w:before="0" w:beforeAutospacing="0" w:after="0" w:afterAutospacing="0"/>
              <w:jc w:val="both"/>
            </w:pPr>
            <w:r>
              <w:t xml:space="preserve">Sex education helps students avoid unwanted pregnancy. </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10"/>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18</w:t>
            </w:r>
          </w:p>
        </w:tc>
        <w:tc>
          <w:tcPr>
            <w:tcW w:w="5935" w:type="dxa"/>
          </w:tcPr>
          <w:p w:rsidR="00E71085" w:rsidRDefault="00A91BD4">
            <w:pPr>
              <w:pStyle w:val="NormalWeb"/>
              <w:spacing w:before="0" w:beforeAutospacing="0" w:after="0" w:afterAutospacing="0"/>
              <w:jc w:val="both"/>
            </w:pPr>
            <w:r>
              <w:t>Sex education helps students understand their bodies better.</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91"/>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19</w:t>
            </w:r>
          </w:p>
        </w:tc>
        <w:tc>
          <w:tcPr>
            <w:tcW w:w="5935" w:type="dxa"/>
          </w:tcPr>
          <w:p w:rsidR="00E71085" w:rsidRDefault="00A91BD4">
            <w:pPr>
              <w:pStyle w:val="NormalWeb"/>
              <w:spacing w:before="0" w:beforeAutospacing="0" w:after="0" w:afterAutospacing="0"/>
              <w:jc w:val="both"/>
            </w:pPr>
            <w:r>
              <w:t>Sex education help prevent sexual abuse and exploitation</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r w:rsidR="00E71085">
        <w:trPr>
          <w:trHeight w:val="79"/>
        </w:trPr>
        <w:tc>
          <w:tcPr>
            <w:tcW w:w="738" w:type="dxa"/>
          </w:tcPr>
          <w:p w:rsidR="00E71085" w:rsidRDefault="00A91BD4">
            <w:pPr>
              <w:jc w:val="both"/>
              <w:rPr>
                <w:rFonts w:ascii="Times New Roman" w:hAnsi="Times New Roman" w:cs="Times New Roman"/>
                <w:sz w:val="24"/>
                <w:szCs w:val="24"/>
              </w:rPr>
            </w:pPr>
            <w:r>
              <w:rPr>
                <w:rFonts w:ascii="Times New Roman" w:hAnsi="Times New Roman" w:cs="Times New Roman"/>
                <w:sz w:val="24"/>
                <w:szCs w:val="24"/>
              </w:rPr>
              <w:t>20</w:t>
            </w:r>
          </w:p>
        </w:tc>
        <w:tc>
          <w:tcPr>
            <w:tcW w:w="5935" w:type="dxa"/>
          </w:tcPr>
          <w:p w:rsidR="00E71085" w:rsidRDefault="00A91BD4">
            <w:pPr>
              <w:pStyle w:val="NormalWeb"/>
              <w:spacing w:before="0" w:beforeAutospacing="0" w:after="0" w:afterAutospacing="0"/>
              <w:jc w:val="both"/>
            </w:pPr>
            <w:r>
              <w:t>I understand the dangers of unprotected sex because of sex education</w:t>
            </w:r>
          </w:p>
        </w:tc>
        <w:tc>
          <w:tcPr>
            <w:tcW w:w="730" w:type="dxa"/>
          </w:tcPr>
          <w:p w:rsidR="00E71085" w:rsidRDefault="00E71085">
            <w:pPr>
              <w:jc w:val="both"/>
              <w:rPr>
                <w:rFonts w:ascii="Times New Roman" w:hAnsi="Times New Roman" w:cs="Times New Roman"/>
                <w:szCs w:val="28"/>
              </w:rPr>
            </w:pPr>
          </w:p>
        </w:tc>
        <w:tc>
          <w:tcPr>
            <w:tcW w:w="730" w:type="dxa"/>
          </w:tcPr>
          <w:p w:rsidR="00E71085" w:rsidRDefault="00E71085">
            <w:pPr>
              <w:jc w:val="both"/>
              <w:rPr>
                <w:rFonts w:ascii="Times New Roman" w:hAnsi="Times New Roman" w:cs="Times New Roman"/>
                <w:szCs w:val="28"/>
              </w:rPr>
            </w:pPr>
          </w:p>
        </w:tc>
        <w:tc>
          <w:tcPr>
            <w:tcW w:w="912" w:type="dxa"/>
          </w:tcPr>
          <w:p w:rsidR="00E71085" w:rsidRDefault="00E71085">
            <w:pPr>
              <w:jc w:val="both"/>
              <w:rPr>
                <w:rFonts w:ascii="Times New Roman" w:hAnsi="Times New Roman" w:cs="Times New Roman"/>
                <w:szCs w:val="28"/>
              </w:rPr>
            </w:pPr>
          </w:p>
        </w:tc>
        <w:tc>
          <w:tcPr>
            <w:tcW w:w="657" w:type="dxa"/>
          </w:tcPr>
          <w:p w:rsidR="00E71085" w:rsidRDefault="00E71085">
            <w:pPr>
              <w:jc w:val="both"/>
              <w:rPr>
                <w:rFonts w:ascii="Times New Roman" w:hAnsi="Times New Roman" w:cs="Times New Roman"/>
                <w:szCs w:val="28"/>
              </w:rPr>
            </w:pPr>
          </w:p>
        </w:tc>
      </w:tr>
    </w:tbl>
    <w:p w:rsidR="00E71085" w:rsidRDefault="00E71085">
      <w:pPr>
        <w:pStyle w:val="NormalWeb"/>
        <w:spacing w:before="0" w:beforeAutospacing="0" w:after="0" w:afterAutospacing="0"/>
        <w:jc w:val="both"/>
        <w:rPr>
          <w:sz w:val="28"/>
          <w:szCs w:val="28"/>
        </w:rPr>
      </w:pPr>
    </w:p>
    <w:p w:rsidR="00E71085" w:rsidRDefault="00A91BD4">
      <w:pPr>
        <w:pStyle w:val="NormalWeb"/>
        <w:spacing w:before="0" w:beforeAutospacing="0" w:after="0" w:afterAutospacing="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Yours faithful </w:t>
      </w:r>
    </w:p>
    <w:p w:rsidR="00E71085" w:rsidRDefault="00A91BD4">
      <w:pPr>
        <w:pStyle w:val="NormalWeb"/>
        <w:spacing w:before="0" w:beforeAutospacing="0" w:after="0" w:afterAutospacing="0"/>
        <w:jc w:val="both"/>
        <w:rPr>
          <w:b/>
          <w:sz w:val="28"/>
          <w:szCs w:val="28"/>
        </w:rPr>
      </w:pPr>
      <w:r>
        <w:rPr>
          <w:b/>
          <w:sz w:val="28"/>
          <w:szCs w:val="28"/>
        </w:rPr>
        <w:tab/>
      </w:r>
    </w:p>
    <w:p w:rsidR="00E71085" w:rsidRDefault="00A91BD4">
      <w:pPr>
        <w:pStyle w:val="NormalWeb"/>
        <w:spacing w:before="0" w:beforeAutospacing="0" w:after="0" w:afterAutospacing="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bookmarkStart w:id="0" w:name="_GoBack"/>
      <w:bookmarkEnd w:id="0"/>
      <w:r>
        <w:rPr>
          <w:b/>
          <w:sz w:val="28"/>
          <w:szCs w:val="28"/>
        </w:rPr>
        <w:t>Abdulsalam, Lubabat</w:t>
      </w:r>
    </w:p>
    <w:p w:rsidR="00E71085" w:rsidRDefault="00E71085">
      <w:pPr>
        <w:pStyle w:val="NormalWeb"/>
        <w:spacing w:before="0" w:beforeAutospacing="0" w:after="0" w:afterAutospacing="0"/>
        <w:ind w:left="5760" w:firstLine="720"/>
        <w:rPr>
          <w:b/>
          <w:sz w:val="28"/>
          <w:szCs w:val="28"/>
        </w:rPr>
      </w:pPr>
    </w:p>
    <w:sectPr w:rsidR="00E71085" w:rsidSect="00E7108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01B" w:rsidRDefault="0073101B" w:rsidP="00E71085">
      <w:pPr>
        <w:spacing w:after="0" w:line="240" w:lineRule="auto"/>
      </w:pPr>
      <w:r>
        <w:separator/>
      </w:r>
    </w:p>
  </w:endnote>
  <w:endnote w:type="continuationSeparator" w:id="1">
    <w:p w:rsidR="0073101B" w:rsidRDefault="0073101B" w:rsidP="00E71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D4" w:rsidRDefault="00A91BD4">
    <w:pPr>
      <w:pStyle w:val="Footer"/>
      <w:jc w:val="center"/>
    </w:pPr>
    <w:fldSimple w:instr=" PAGE   \* MERGEFORMAT ">
      <w:r w:rsidR="0085573A">
        <w:rPr>
          <w:noProof/>
        </w:rPr>
        <w:t>31</w:t>
      </w:r>
    </w:fldSimple>
  </w:p>
  <w:p w:rsidR="00A91BD4" w:rsidRDefault="00A91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01B" w:rsidRDefault="0073101B" w:rsidP="00E71085">
      <w:pPr>
        <w:spacing w:after="0" w:line="240" w:lineRule="auto"/>
      </w:pPr>
      <w:r>
        <w:separator/>
      </w:r>
    </w:p>
  </w:footnote>
  <w:footnote w:type="continuationSeparator" w:id="1">
    <w:p w:rsidR="0073101B" w:rsidRDefault="0073101B" w:rsidP="00E710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BD856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CAD4C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7B969D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4E884C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DE5E43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D99CB7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3AE6EA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70F264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EB0A92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FCD4DB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B4BE61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2FC069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0F"/>
    <w:multiLevelType w:val="multilevel"/>
    <w:tmpl w:val="D0B07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3E1C0C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1"/>
    <w:multiLevelType w:val="multilevel"/>
    <w:tmpl w:val="12EE81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65CEFB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3"/>
    <w:multiLevelType w:val="multilevel"/>
    <w:tmpl w:val="DF7C1E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4"/>
    <w:multiLevelType w:val="multilevel"/>
    <w:tmpl w:val="822668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5"/>
    <w:multiLevelType w:val="multilevel"/>
    <w:tmpl w:val="8ABCB8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548E1F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7"/>
    <w:multiLevelType w:val="multilevel"/>
    <w:tmpl w:val="C3AAC4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8"/>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0000019"/>
    <w:multiLevelType w:val="multilevel"/>
    <w:tmpl w:val="6BA412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nsid w:val="0000001A"/>
    <w:multiLevelType w:val="multilevel"/>
    <w:tmpl w:val="6EFC15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B"/>
    <w:multiLevelType w:val="multilevel"/>
    <w:tmpl w:val="FF1ECF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C"/>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nsid w:val="0000001D"/>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nsid w:val="0000001E"/>
    <w:multiLevelType w:val="multilevel"/>
    <w:tmpl w:val="03B6D6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1F"/>
    <w:multiLevelType w:val="hybridMultilevel"/>
    <w:tmpl w:val="B30A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multilevel"/>
    <w:tmpl w:val="969AFC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1"/>
  </w:num>
  <w:num w:numId="2">
    <w:abstractNumId w:val="10"/>
  </w:num>
  <w:num w:numId="3">
    <w:abstractNumId w:val="25"/>
  </w:num>
  <w:num w:numId="4">
    <w:abstractNumId w:val="3"/>
  </w:num>
  <w:num w:numId="5">
    <w:abstractNumId w:val="23"/>
  </w:num>
  <w:num w:numId="6">
    <w:abstractNumId w:val="13"/>
  </w:num>
  <w:num w:numId="7">
    <w:abstractNumId w:val="0"/>
  </w:num>
  <w:num w:numId="8">
    <w:abstractNumId w:val="19"/>
  </w:num>
  <w:num w:numId="9">
    <w:abstractNumId w:val="26"/>
  </w:num>
  <w:num w:numId="10">
    <w:abstractNumId w:val="1"/>
  </w:num>
  <w:num w:numId="11">
    <w:abstractNumId w:val="17"/>
  </w:num>
  <w:num w:numId="12">
    <w:abstractNumId w:val="4"/>
  </w:num>
  <w:num w:numId="13">
    <w:abstractNumId w:val="30"/>
  </w:num>
  <w:num w:numId="14">
    <w:abstractNumId w:val="27"/>
  </w:num>
  <w:num w:numId="15">
    <w:abstractNumId w:val="2"/>
  </w:num>
  <w:num w:numId="16">
    <w:abstractNumId w:val="8"/>
  </w:num>
  <w:num w:numId="17">
    <w:abstractNumId w:val="14"/>
  </w:num>
  <w:num w:numId="18">
    <w:abstractNumId w:val="5"/>
  </w:num>
  <w:num w:numId="19">
    <w:abstractNumId w:val="22"/>
  </w:num>
  <w:num w:numId="20">
    <w:abstractNumId w:val="16"/>
  </w:num>
  <w:num w:numId="21">
    <w:abstractNumId w:val="18"/>
  </w:num>
  <w:num w:numId="22">
    <w:abstractNumId w:val="29"/>
  </w:num>
  <w:num w:numId="23">
    <w:abstractNumId w:val="7"/>
  </w:num>
  <w:num w:numId="24">
    <w:abstractNumId w:val="32"/>
  </w:num>
  <w:num w:numId="25">
    <w:abstractNumId w:val="28"/>
  </w:num>
  <w:num w:numId="26">
    <w:abstractNumId w:val="24"/>
  </w:num>
  <w:num w:numId="27">
    <w:abstractNumId w:val="12"/>
  </w:num>
  <w:num w:numId="28">
    <w:abstractNumId w:val="21"/>
  </w:num>
  <w:num w:numId="29">
    <w:abstractNumId w:val="20"/>
  </w:num>
  <w:num w:numId="30">
    <w:abstractNumId w:val="15"/>
  </w:num>
  <w:num w:numId="31">
    <w:abstractNumId w:val="9"/>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71085"/>
    <w:rsid w:val="00210729"/>
    <w:rsid w:val="002F4739"/>
    <w:rsid w:val="006071C1"/>
    <w:rsid w:val="0073101B"/>
    <w:rsid w:val="0085573A"/>
    <w:rsid w:val="008A589C"/>
    <w:rsid w:val="00904098"/>
    <w:rsid w:val="00933430"/>
    <w:rsid w:val="009B6C51"/>
    <w:rsid w:val="00A91BD4"/>
    <w:rsid w:val="00BB163B"/>
    <w:rsid w:val="00BF534B"/>
    <w:rsid w:val="00CE6A62"/>
    <w:rsid w:val="00D61E85"/>
    <w:rsid w:val="00E71085"/>
    <w:rsid w:val="00F37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85"/>
  </w:style>
  <w:style w:type="paragraph" w:styleId="Heading1">
    <w:name w:val="heading 1"/>
    <w:basedOn w:val="Normal"/>
    <w:next w:val="Normal"/>
    <w:link w:val="Heading1Char"/>
    <w:uiPriority w:val="9"/>
    <w:qFormat/>
    <w:rsid w:val="00E71085"/>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qFormat/>
    <w:rsid w:val="00E71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1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E71085"/>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0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1085"/>
    <w:rPr>
      <w:rFonts w:ascii="Times New Roman" w:eastAsia="Times New Roman" w:hAnsi="Times New Roman" w:cs="Times New Roman"/>
      <w:b/>
      <w:bCs/>
      <w:sz w:val="27"/>
      <w:szCs w:val="27"/>
    </w:rPr>
  </w:style>
  <w:style w:type="paragraph" w:styleId="NormalWeb">
    <w:name w:val="Normal (Web)"/>
    <w:basedOn w:val="Normal"/>
    <w:uiPriority w:val="99"/>
    <w:rsid w:val="00E71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085"/>
    <w:rPr>
      <w:b/>
      <w:bCs/>
    </w:rPr>
  </w:style>
  <w:style w:type="paragraph" w:styleId="Header">
    <w:name w:val="header"/>
    <w:basedOn w:val="Normal"/>
    <w:link w:val="HeaderChar"/>
    <w:uiPriority w:val="99"/>
    <w:rsid w:val="00E71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085"/>
  </w:style>
  <w:style w:type="paragraph" w:styleId="Footer">
    <w:name w:val="footer"/>
    <w:basedOn w:val="Normal"/>
    <w:link w:val="FooterChar"/>
    <w:uiPriority w:val="99"/>
    <w:rsid w:val="00E71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085"/>
  </w:style>
  <w:style w:type="character" w:customStyle="1" w:styleId="Heading1Char">
    <w:name w:val="Heading 1 Char"/>
    <w:basedOn w:val="DefaultParagraphFont"/>
    <w:link w:val="Heading1"/>
    <w:uiPriority w:val="9"/>
    <w:rsid w:val="00E71085"/>
    <w:rPr>
      <w:rFonts w:ascii="Cambria" w:eastAsia="SimSun" w:hAnsi="Cambria" w:cs="SimSun"/>
      <w:b/>
      <w:bCs/>
      <w:color w:val="365F91"/>
      <w:sz w:val="28"/>
      <w:szCs w:val="28"/>
    </w:rPr>
  </w:style>
  <w:style w:type="character" w:customStyle="1" w:styleId="katex-mathml">
    <w:name w:val="katex-mathml"/>
    <w:basedOn w:val="DefaultParagraphFont"/>
    <w:rsid w:val="00E71085"/>
  </w:style>
  <w:style w:type="character" w:customStyle="1" w:styleId="mord">
    <w:name w:val="mord"/>
    <w:basedOn w:val="DefaultParagraphFont"/>
    <w:rsid w:val="00E71085"/>
  </w:style>
  <w:style w:type="character" w:customStyle="1" w:styleId="vlist-s">
    <w:name w:val="vlist-s"/>
    <w:basedOn w:val="DefaultParagraphFont"/>
    <w:rsid w:val="00E71085"/>
  </w:style>
  <w:style w:type="character" w:customStyle="1" w:styleId="mrel">
    <w:name w:val="mrel"/>
    <w:basedOn w:val="DefaultParagraphFont"/>
    <w:rsid w:val="00E71085"/>
  </w:style>
  <w:style w:type="character" w:customStyle="1" w:styleId="mopen">
    <w:name w:val="mopen"/>
    <w:basedOn w:val="DefaultParagraphFont"/>
    <w:rsid w:val="00E71085"/>
  </w:style>
  <w:style w:type="character" w:customStyle="1" w:styleId="mbin">
    <w:name w:val="mbin"/>
    <w:basedOn w:val="DefaultParagraphFont"/>
    <w:rsid w:val="00E71085"/>
  </w:style>
  <w:style w:type="character" w:customStyle="1" w:styleId="mclose">
    <w:name w:val="mclose"/>
    <w:basedOn w:val="DefaultParagraphFont"/>
    <w:rsid w:val="00E71085"/>
  </w:style>
  <w:style w:type="paragraph" w:styleId="NoSpacing">
    <w:name w:val="No Spacing"/>
    <w:link w:val="NoSpacingChar"/>
    <w:uiPriority w:val="1"/>
    <w:qFormat/>
    <w:rsid w:val="00E71085"/>
    <w:pPr>
      <w:spacing w:after="0" w:line="240" w:lineRule="auto"/>
    </w:pPr>
  </w:style>
  <w:style w:type="character" w:customStyle="1" w:styleId="NoSpacingChar">
    <w:name w:val="No Spacing Char"/>
    <w:basedOn w:val="DefaultParagraphFont"/>
    <w:link w:val="NoSpacing"/>
    <w:uiPriority w:val="1"/>
    <w:rsid w:val="00E71085"/>
  </w:style>
  <w:style w:type="paragraph" w:styleId="BalloonText">
    <w:name w:val="Balloon Text"/>
    <w:basedOn w:val="Normal"/>
    <w:link w:val="BalloonTextChar"/>
    <w:uiPriority w:val="99"/>
    <w:rsid w:val="00E71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1085"/>
    <w:rPr>
      <w:rFonts w:ascii="Tahoma" w:hAnsi="Tahoma" w:cs="Tahoma"/>
      <w:sz w:val="16"/>
      <w:szCs w:val="16"/>
    </w:rPr>
  </w:style>
  <w:style w:type="character" w:styleId="Emphasis">
    <w:name w:val="Emphasis"/>
    <w:basedOn w:val="DefaultParagraphFont"/>
    <w:uiPriority w:val="20"/>
    <w:qFormat/>
    <w:rsid w:val="00E71085"/>
    <w:rPr>
      <w:i/>
      <w:iCs/>
    </w:rPr>
  </w:style>
  <w:style w:type="character" w:customStyle="1" w:styleId="Heading4Char">
    <w:name w:val="Heading 4 Char"/>
    <w:basedOn w:val="DefaultParagraphFont"/>
    <w:link w:val="Heading4"/>
    <w:uiPriority w:val="9"/>
    <w:rsid w:val="00E71085"/>
    <w:rPr>
      <w:rFonts w:ascii="Cambria" w:eastAsia="SimSun" w:hAnsi="Cambria" w:cs="SimSun"/>
      <w:b/>
      <w:bCs/>
      <w:i/>
      <w:iCs/>
      <w:color w:val="4F81BD"/>
    </w:rPr>
  </w:style>
  <w:style w:type="paragraph" w:styleId="ListParagraph">
    <w:name w:val="List Paragraph"/>
    <w:basedOn w:val="Normal"/>
    <w:uiPriority w:val="34"/>
    <w:qFormat/>
    <w:rsid w:val="00E71085"/>
    <w:pPr>
      <w:ind w:left="720"/>
      <w:contextualSpacing/>
    </w:pPr>
  </w:style>
  <w:style w:type="table" w:styleId="TableGrid">
    <w:name w:val="Table Grid"/>
    <w:basedOn w:val="TableNormal"/>
    <w:uiPriority w:val="59"/>
    <w:rsid w:val="00E7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op">
    <w:name w:val="mop"/>
    <w:basedOn w:val="DefaultParagraphFont"/>
    <w:rsid w:val="00E71085"/>
  </w:style>
  <w:style w:type="character" w:styleId="PlaceholderText">
    <w:name w:val="Placeholder Text"/>
    <w:basedOn w:val="DefaultParagraphFont"/>
    <w:uiPriority w:val="99"/>
    <w:rsid w:val="00E71085"/>
    <w:rPr>
      <w:color w:val="808080"/>
    </w:rPr>
  </w:style>
  <w:style w:type="paragraph" w:styleId="z-TopofForm">
    <w:name w:val="HTML Top of Form"/>
    <w:basedOn w:val="Normal"/>
    <w:next w:val="Normal"/>
    <w:link w:val="z-TopofFormChar"/>
    <w:uiPriority w:val="99"/>
    <w:rsid w:val="00E7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71085"/>
    <w:rPr>
      <w:rFonts w:ascii="Arial" w:eastAsia="Times New Roman" w:hAnsi="Arial" w:cs="Arial"/>
      <w:vanish/>
      <w:sz w:val="16"/>
      <w:szCs w:val="16"/>
    </w:rPr>
  </w:style>
  <w:style w:type="paragraph" w:customStyle="1" w:styleId="placeholder">
    <w:name w:val="placeholder"/>
    <w:basedOn w:val="Normal"/>
    <w:rsid w:val="00E7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1">
    <w:name w:val="ps-1"/>
    <w:basedOn w:val="DefaultParagraphFont"/>
    <w:rsid w:val="00E71085"/>
  </w:style>
  <w:style w:type="paragraph" w:styleId="z-BottomofForm">
    <w:name w:val="HTML Bottom of Form"/>
    <w:basedOn w:val="Normal"/>
    <w:next w:val="Normal"/>
    <w:link w:val="z-BottomofFormChar"/>
    <w:uiPriority w:val="99"/>
    <w:rsid w:val="00E7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71085"/>
    <w:rPr>
      <w:rFonts w:ascii="Arial" w:eastAsia="Times New Roman" w:hAnsi="Arial" w:cs="Arial"/>
      <w:vanish/>
      <w:sz w:val="16"/>
      <w:szCs w:val="16"/>
    </w:rPr>
  </w:style>
  <w:style w:type="table" w:styleId="LightShading-Accent3">
    <w:name w:val="Light Shading Accent 3"/>
    <w:basedOn w:val="TableNormal"/>
    <w:uiPriority w:val="60"/>
    <w:rsid w:val="00CE6A6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E2D5-EA6A-4D08-A020-3DDCCA15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8462</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cp:lastPrinted>2025-07-17T12:13:00Z</cp:lastPrinted>
  <dcterms:created xsi:type="dcterms:W3CDTF">2025-11-25T14:06:00Z</dcterms:created>
  <dcterms:modified xsi:type="dcterms:W3CDTF">2025-11-25T14:06:00Z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9fea3edc4f214063aaf605d4609c1bc2</vt:lpwstr>
  </property>
  <property fmtid="{D5CDD505-2E9C-101B-9397-08002B2CF9AE}" pid="3" name="GrammarlyDocumentId">
    <vt:lpwstr>1211ac14-52ce-4afc-9a89-8829e7b40c11</vt:lpwstr>
  </property>
</Properties>
</file>